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C8" w:rsidRPr="00EC67D8" w:rsidRDefault="00EC67D8" w:rsidP="00EC67D8">
      <w:pPr>
        <w:jc w:val="center"/>
        <w:rPr>
          <w:sz w:val="32"/>
          <w:szCs w:val="32"/>
          <w:lang w:val="en-US"/>
        </w:rPr>
      </w:pPr>
      <w:r w:rsidRPr="00EC67D8">
        <w:rPr>
          <w:b/>
          <w:bCs/>
          <w:sz w:val="32"/>
          <w:szCs w:val="32"/>
          <w:lang w:val="en-GB"/>
        </w:rPr>
        <w:t>Language</w:t>
      </w:r>
      <w:r>
        <w:rPr>
          <w:b/>
          <w:bCs/>
          <w:sz w:val="32"/>
          <w:szCs w:val="32"/>
          <w:lang w:val="en-GB"/>
        </w:rPr>
        <w:t>s</w:t>
      </w:r>
      <w:r w:rsidRPr="00EC67D8">
        <w:rPr>
          <w:b/>
          <w:bCs/>
          <w:sz w:val="32"/>
          <w:szCs w:val="32"/>
          <w:lang w:val="en-GB"/>
        </w:rPr>
        <w:t xml:space="preserve"> PD opportunity</w:t>
      </w:r>
    </w:p>
    <w:p w:rsidR="00EC67D8" w:rsidRPr="00EC67D8" w:rsidRDefault="00EC67D8">
      <w:pPr>
        <w:rPr>
          <w:sz w:val="28"/>
          <w:lang w:val="en-US"/>
        </w:rPr>
      </w:pPr>
    </w:p>
    <w:tbl>
      <w:tblPr>
        <w:tblW w:w="0" w:type="auto"/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3159"/>
        <w:gridCol w:w="3159"/>
        <w:gridCol w:w="3159"/>
      </w:tblGrid>
      <w:tr w:rsidR="00EC67D8" w:rsidRPr="00EC67D8" w:rsidTr="00EC67D8">
        <w:trPr>
          <w:trHeight w:val="4772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COLLEEN ABBOTT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hyperlink r:id="rId4" w:history="1">
              <w:r w:rsidRPr="00EC67D8">
                <w:rPr>
                  <w:rStyle w:val="Hyperlink"/>
                  <w:rFonts w:asciiTheme="minorHAnsi" w:hAnsiTheme="minorHAnsi"/>
                  <w:b/>
                  <w:bCs/>
                  <w:sz w:val="28"/>
                </w:rPr>
                <w:t xml:space="preserve">Differentiated instruction for Language (LOTE) Teachers </w:t>
              </w:r>
            </w:hyperlink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Default="00EC67D8">
            <w:pPr>
              <w:rPr>
                <w:rFonts w:asciiTheme="minorHAnsi" w:hAnsiTheme="minorHAnsi"/>
                <w:b/>
                <w:bCs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Beginning, ES</w:t>
            </w:r>
            <w:r>
              <w:rPr>
                <w:rFonts w:asciiTheme="minorHAnsi" w:hAnsiTheme="minorHAnsi"/>
                <w:sz w:val="28"/>
              </w:rPr>
              <w:t>L &amp; Language (LOTE) teachers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Cost $199 inc. GST (early bird)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EC67D8">
              <w:rPr>
                <w:rFonts w:asciiTheme="minorHAnsi" w:hAnsiTheme="minorHAnsi"/>
                <w:sz w:val="28"/>
              </w:rPr>
              <w:t>Per seminar</w:t>
            </w:r>
          </w:p>
          <w:p w:rsid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 w:rsidP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QCT standard: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EC67D8">
              <w:rPr>
                <w:rFonts w:asciiTheme="minorHAnsi" w:hAnsiTheme="minorHAnsi"/>
                <w:sz w:val="28"/>
              </w:rPr>
              <w:t>1,3,4,10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hideMark/>
          </w:tcPr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GLENDA MOORE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hyperlink r:id="rId5" w:history="1">
              <w:r w:rsidRPr="00EC67D8">
                <w:rPr>
                  <w:rStyle w:val="Hyperlink"/>
                  <w:rFonts w:asciiTheme="minorHAnsi" w:hAnsiTheme="minorHAnsi"/>
                  <w:b/>
                  <w:bCs/>
                  <w:sz w:val="28"/>
                </w:rPr>
                <w:t>MULTI-MODAL PRESENTATIONS – Practical “how to” and examples for use in any classroom</w:t>
              </w:r>
            </w:hyperlink>
            <w:r w:rsidRPr="00EC67D8">
              <w:rPr>
                <w:rFonts w:asciiTheme="minorHAnsi" w:hAnsiTheme="minorHAnsi"/>
                <w:b/>
                <w:bCs/>
                <w:sz w:val="28"/>
                <w:u w:val="single"/>
              </w:rPr>
              <w:t xml:space="preserve"> 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All language teachers, ESL teachers &amp; teacher aides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Cost $199 inc. GST (early bird)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QCT standard: 1,2,3,4,10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hideMark/>
          </w:tcPr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COLLEEN ABBOTT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hyperlink r:id="rId6" w:history="1">
              <w:r w:rsidRPr="00EC67D8">
                <w:rPr>
                  <w:rStyle w:val="Hyperlink"/>
                  <w:rFonts w:asciiTheme="minorHAnsi" w:hAnsiTheme="minorHAnsi"/>
                  <w:b/>
                  <w:bCs/>
                  <w:sz w:val="28"/>
                </w:rPr>
                <w:t>Learning Languages:</w:t>
              </w:r>
            </w:hyperlink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hyperlink r:id="rId7" w:history="1">
              <w:r w:rsidRPr="00EC67D8">
                <w:rPr>
                  <w:rStyle w:val="Hyperlink"/>
                  <w:rFonts w:asciiTheme="minorHAnsi" w:hAnsiTheme="minorHAnsi"/>
                  <w:b/>
                  <w:bCs/>
                  <w:sz w:val="28"/>
                </w:rPr>
                <w:t>Teaching with brain based engagement strategies</w:t>
              </w:r>
            </w:hyperlink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Middle School  (Grades 4-10) Language Teachers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Cost $199 inc. GST (early bird)</w:t>
            </w: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</w:p>
          <w:p w:rsidR="00EC67D8" w:rsidRPr="00EC67D8" w:rsidRDefault="00EC67D8">
            <w:pPr>
              <w:rPr>
                <w:rFonts w:asciiTheme="minorHAnsi" w:hAnsiTheme="minorHAnsi"/>
                <w:sz w:val="28"/>
              </w:rPr>
            </w:pPr>
            <w:r w:rsidRPr="00EC67D8">
              <w:rPr>
                <w:rFonts w:asciiTheme="minorHAnsi" w:hAnsiTheme="minorHAnsi"/>
                <w:sz w:val="28"/>
              </w:rPr>
              <w:t>QCT standard: 1,3,4,7,10</w:t>
            </w:r>
          </w:p>
        </w:tc>
      </w:tr>
    </w:tbl>
    <w:p w:rsidR="00EC67D8" w:rsidRPr="00EC67D8" w:rsidRDefault="00EC67D8" w:rsidP="00EC67D8">
      <w:pPr>
        <w:rPr>
          <w:rFonts w:asciiTheme="minorHAnsi" w:hAnsiTheme="minorHAnsi"/>
          <w:sz w:val="28"/>
          <w:lang w:val="en-GB"/>
        </w:rPr>
      </w:pPr>
    </w:p>
    <w:p w:rsidR="00EC67D8" w:rsidRPr="00EC67D8" w:rsidRDefault="00EC67D8" w:rsidP="00EC67D8">
      <w:pPr>
        <w:rPr>
          <w:rFonts w:asciiTheme="minorHAnsi" w:hAnsiTheme="minorHAnsi"/>
          <w:sz w:val="28"/>
          <w:lang w:val="en-GB"/>
        </w:rPr>
      </w:pPr>
      <w:r w:rsidRPr="00EC67D8">
        <w:rPr>
          <w:rFonts w:asciiTheme="minorHAnsi" w:hAnsiTheme="minorHAnsi"/>
          <w:sz w:val="32"/>
          <w:szCs w:val="24"/>
          <w:lang w:val="en-GB"/>
        </w:rPr>
        <w:t xml:space="preserve">All of our courses are aligned with the QCT standards and certificates will be issued </w:t>
      </w:r>
      <w:r>
        <w:rPr>
          <w:rFonts w:asciiTheme="minorHAnsi" w:hAnsiTheme="minorHAnsi"/>
          <w:sz w:val="32"/>
          <w:szCs w:val="24"/>
          <w:lang w:val="en-GB"/>
        </w:rPr>
        <w:t>upon completion of the seminar.</w:t>
      </w:r>
      <w:r w:rsidRPr="00EC67D8">
        <w:rPr>
          <w:rFonts w:asciiTheme="minorHAnsi" w:hAnsiTheme="minorHAnsi"/>
          <w:sz w:val="32"/>
          <w:szCs w:val="24"/>
          <w:lang w:val="en-GB"/>
        </w:rPr>
        <w:t xml:space="preserve"> We are also an endorsed provider by the NSW Institute of Teachers (NSWIT) and some courses are registered for Professional Development with them. Registration is from 8.30am. Session times are 9am – 3pm with 5 hours of CPD.</w:t>
      </w:r>
    </w:p>
    <w:p w:rsidR="00EC67D8" w:rsidRPr="00EC67D8" w:rsidRDefault="00EC67D8">
      <w:pPr>
        <w:rPr>
          <w:rFonts w:asciiTheme="minorHAnsi" w:hAnsiTheme="minorHAnsi"/>
          <w:sz w:val="28"/>
          <w:lang w:val="en-US"/>
        </w:rPr>
      </w:pPr>
    </w:p>
    <w:sectPr w:rsidR="00EC67D8" w:rsidRPr="00EC67D8" w:rsidSect="00CB7F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67D8"/>
    <w:rsid w:val="0023521E"/>
    <w:rsid w:val="0025525B"/>
    <w:rsid w:val="00297F06"/>
    <w:rsid w:val="00585019"/>
    <w:rsid w:val="005D3A43"/>
    <w:rsid w:val="00690F3F"/>
    <w:rsid w:val="00897DC7"/>
    <w:rsid w:val="009473DF"/>
    <w:rsid w:val="00A460F1"/>
    <w:rsid w:val="00B6525B"/>
    <w:rsid w:val="00BB3C8C"/>
    <w:rsid w:val="00BD7F51"/>
    <w:rsid w:val="00C671AF"/>
    <w:rsid w:val="00C82030"/>
    <w:rsid w:val="00CB7F13"/>
    <w:rsid w:val="00DF7A3C"/>
    <w:rsid w:val="00EC67D8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D8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gscope.com.au/wp-content/uploads/2011/12/Learning-LOTE-teaching-with-brain-based-strategie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scope.com.au/wp-content/uploads/2011/12/Learning-LOTE-teaching-with-brain-based-strategies.doc" TargetMode="External"/><Relationship Id="rId5" Type="http://schemas.openxmlformats.org/officeDocument/2006/relationships/hyperlink" Target="http://www.bigscope.com.au/wp-content/uploads/2012/01/MULTI-MODAL-PRESENTATIONS-practical-_how-to_-and-examples-for-use-in-any-classroom.doc" TargetMode="External"/><Relationship Id="rId4" Type="http://schemas.openxmlformats.org/officeDocument/2006/relationships/hyperlink" Target="http://www.bigscope.com.au/wp-content/uploads/2012/01/begin-teachers-and-LOTE-differentiation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cmasters</dc:creator>
  <cp:keywords/>
  <dc:description/>
  <cp:lastModifiedBy>cmasters</cp:lastModifiedBy>
  <cp:revision>1</cp:revision>
  <dcterms:created xsi:type="dcterms:W3CDTF">2012-02-01T11:12:00Z</dcterms:created>
  <dcterms:modified xsi:type="dcterms:W3CDTF">2012-02-01T11:16:00Z</dcterms:modified>
</cp:coreProperties>
</file>