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626"/>
      </w:tblGrid>
      <w:tr w:rsidR="00C352BB" w:rsidTr="00C352BB">
        <w:trPr>
          <w:tblCellSpacing w:w="0" w:type="dxa"/>
          <w:jc w:val="center"/>
        </w:trPr>
        <w:tc>
          <w:tcPr>
            <w:tcW w:w="0" w:type="auto"/>
            <w:shd w:val="clear" w:color="auto" w:fill="FFFFFF"/>
            <w:tcMar>
              <w:top w:w="300" w:type="dxa"/>
              <w:left w:w="300" w:type="dxa"/>
              <w:bottom w:w="300" w:type="dxa"/>
              <w:right w:w="300" w:type="dxa"/>
            </w:tcMar>
            <w:hideMark/>
          </w:tcPr>
          <w:tbl>
            <w:tblPr>
              <w:tblW w:w="9000" w:type="dxa"/>
              <w:jc w:val="center"/>
              <w:tblCellSpacing w:w="0" w:type="dxa"/>
              <w:tblBorders>
                <w:top w:val="single" w:sz="8" w:space="0" w:color="555555"/>
                <w:left w:val="single" w:sz="8" w:space="0" w:color="555555"/>
                <w:bottom w:val="single" w:sz="8" w:space="0" w:color="555555"/>
                <w:right w:val="single" w:sz="8" w:space="0" w:color="555555"/>
              </w:tblBorders>
              <w:shd w:val="clear" w:color="auto" w:fill="FFFFFF"/>
              <w:tblCellMar>
                <w:left w:w="0" w:type="dxa"/>
                <w:right w:w="0" w:type="dxa"/>
              </w:tblCellMar>
              <w:tblLook w:val="04A0" w:firstRow="1" w:lastRow="0" w:firstColumn="1" w:lastColumn="0" w:noHBand="0" w:noVBand="1"/>
            </w:tblPr>
            <w:tblGrid>
              <w:gridCol w:w="9000"/>
            </w:tblGrid>
            <w:tr w:rsidR="00C352BB">
              <w:trPr>
                <w:tblCellSpacing w:w="0" w:type="dxa"/>
                <w:jc w:val="center"/>
              </w:trPr>
              <w:tc>
                <w:tcPr>
                  <w:tcW w:w="0" w:type="auto"/>
                  <w:tcBorders>
                    <w:top w:val="nil"/>
                    <w:left w:val="nil"/>
                    <w:bottom w:val="nil"/>
                    <w:right w:val="nil"/>
                  </w:tcBorders>
                  <w:shd w:val="clear" w:color="auto" w:fill="FFFFFF"/>
                  <w:vAlign w:val="center"/>
                  <w:hideMark/>
                </w:tcPr>
                <w:p w:rsidR="00C352BB" w:rsidRDefault="00C352BB">
                  <w:r>
                    <w:rPr>
                      <w:noProof/>
                    </w:rPr>
                    <w:drawing>
                      <wp:inline distT="0" distB="0" distL="0" distR="0">
                        <wp:extent cx="5715000" cy="571500"/>
                        <wp:effectExtent l="0" t="0" r="0" b="0"/>
                        <wp:docPr id="12" name="Picture 12" descr="QCAA news for schools">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A news for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
                                </a:xfrm>
                                <a:prstGeom prst="rect">
                                  <a:avLst/>
                                </a:prstGeom>
                                <a:noFill/>
                                <a:ln>
                                  <a:noFill/>
                                </a:ln>
                              </pic:spPr>
                            </pic:pic>
                          </a:graphicData>
                        </a:graphic>
                      </wp:inline>
                    </w:drawing>
                  </w:r>
                </w:p>
              </w:tc>
            </w:tr>
            <w:tr w:rsidR="00C352BB">
              <w:trPr>
                <w:tblCellSpacing w:w="0" w:type="dxa"/>
                <w:jc w:val="center"/>
              </w:trPr>
              <w:tc>
                <w:tcPr>
                  <w:tcW w:w="0" w:type="auto"/>
                  <w:tcBorders>
                    <w:top w:val="nil"/>
                    <w:left w:val="nil"/>
                    <w:bottom w:val="nil"/>
                    <w:right w:val="nil"/>
                  </w:tcBorders>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C352BB">
                    <w:trPr>
                      <w:tblCellSpacing w:w="0" w:type="dxa"/>
                    </w:trPr>
                    <w:tc>
                      <w:tcPr>
                        <w:tcW w:w="0" w:type="auto"/>
                        <w:tcMar>
                          <w:top w:w="90" w:type="dxa"/>
                          <w:left w:w="150" w:type="dxa"/>
                          <w:bottom w:w="90" w:type="dxa"/>
                          <w:right w:w="90" w:type="dxa"/>
                        </w:tcMar>
                        <w:vAlign w:val="center"/>
                        <w:hideMark/>
                      </w:tcPr>
                      <w:p w:rsidR="00C352BB" w:rsidRDefault="00C352BB">
                        <w:r>
                          <w:rPr>
                            <w:rFonts w:ascii="Arial" w:hAnsi="Arial" w:cs="Arial"/>
                            <w:b/>
                            <w:bCs/>
                            <w:sz w:val="20"/>
                            <w:szCs w:val="20"/>
                          </w:rPr>
                          <w:t>Link to our latest education resources, professional learning opportunities and more</w:t>
                        </w:r>
                      </w:p>
                    </w:tc>
                  </w:tr>
                </w:tbl>
                <w:p w:rsidR="00C352BB" w:rsidRDefault="00C352BB">
                  <w:pPr>
                    <w:rPr>
                      <w:rFonts w:eastAsia="Times New Roman"/>
                      <w:color w:val="auto"/>
                      <w:sz w:val="20"/>
                      <w:szCs w:val="20"/>
                    </w:rPr>
                  </w:pPr>
                </w:p>
              </w:tc>
            </w:tr>
            <w:tr w:rsidR="00C352BB">
              <w:trPr>
                <w:tblCellSpacing w:w="0" w:type="dxa"/>
                <w:jc w:val="center"/>
              </w:trPr>
              <w:tc>
                <w:tcPr>
                  <w:tcW w:w="0" w:type="auto"/>
                  <w:tcBorders>
                    <w:top w:val="nil"/>
                    <w:left w:val="nil"/>
                    <w:bottom w:val="nil"/>
                    <w:right w:val="nil"/>
                  </w:tcBorders>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C352BB">
                    <w:trPr>
                      <w:tblCellSpacing w:w="0" w:type="dxa"/>
                    </w:trPr>
                    <w:tc>
                      <w:tcPr>
                        <w:tcW w:w="0" w:type="auto"/>
                        <w:tcBorders>
                          <w:top w:val="nil"/>
                          <w:left w:val="nil"/>
                          <w:bottom w:val="single" w:sz="36" w:space="0" w:color="D52B1E"/>
                          <w:right w:val="nil"/>
                        </w:tcBorders>
                        <w:tcMar>
                          <w:top w:w="150" w:type="dxa"/>
                          <w:left w:w="150" w:type="dxa"/>
                          <w:bottom w:w="150" w:type="dxa"/>
                          <w:right w:w="150" w:type="dxa"/>
                        </w:tcMar>
                        <w:vAlign w:val="center"/>
                        <w:hideMark/>
                      </w:tcPr>
                      <w:p w:rsidR="00C352BB" w:rsidRDefault="00C352BB">
                        <w:r>
                          <w:rPr>
                            <w:rFonts w:ascii="Arial" w:hAnsi="Arial" w:cs="Arial"/>
                            <w:sz w:val="21"/>
                            <w:szCs w:val="21"/>
                          </w:rPr>
                          <w:t>2 February 2015</w:t>
                        </w:r>
                      </w:p>
                    </w:tc>
                  </w:tr>
                </w:tbl>
                <w:p w:rsidR="00C352BB" w:rsidRDefault="00C352BB">
                  <w:pPr>
                    <w:rPr>
                      <w:rFonts w:eastAsia="Times New Roman"/>
                      <w:color w:val="auto"/>
                      <w:sz w:val="20"/>
                      <w:szCs w:val="20"/>
                    </w:rPr>
                  </w:pPr>
                </w:p>
              </w:tc>
            </w:tr>
            <w:tr w:rsidR="00C352BB">
              <w:trPr>
                <w:tblCellSpacing w:w="0" w:type="dxa"/>
                <w:jc w:val="center"/>
              </w:trPr>
              <w:tc>
                <w:tcPr>
                  <w:tcW w:w="0" w:type="auto"/>
                  <w:tcBorders>
                    <w:top w:val="nil"/>
                    <w:left w:val="nil"/>
                    <w:bottom w:val="nil"/>
                    <w:right w:val="nil"/>
                  </w:tcBorders>
                  <w:shd w:val="clear" w:color="auto" w:fill="FFFFFF"/>
                  <w:vAlign w:val="center"/>
                  <w:hideMark/>
                </w:tcPr>
                <w:tbl>
                  <w:tblPr>
                    <w:tblW w:w="9000" w:type="dxa"/>
                    <w:tblCellSpacing w:w="0" w:type="dxa"/>
                    <w:tblBorders>
                      <w:left w:val="single" w:sz="8" w:space="0" w:color="FFFFFF"/>
                      <w:bottom w:val="single" w:sz="8" w:space="0" w:color="D52B1E"/>
                    </w:tblBorders>
                    <w:tblCellMar>
                      <w:left w:w="0" w:type="dxa"/>
                      <w:right w:w="0" w:type="dxa"/>
                    </w:tblCellMar>
                    <w:tblLook w:val="04A0" w:firstRow="1" w:lastRow="0" w:firstColumn="1" w:lastColumn="0" w:noHBand="0" w:noVBand="1"/>
                  </w:tblPr>
                  <w:tblGrid>
                    <w:gridCol w:w="5212"/>
                    <w:gridCol w:w="3788"/>
                  </w:tblGrid>
                  <w:tr w:rsidR="00C352BB">
                    <w:trPr>
                      <w:tblCellSpacing w:w="0" w:type="dxa"/>
                    </w:trPr>
                    <w:tc>
                      <w:tcPr>
                        <w:tcW w:w="0" w:type="auto"/>
                        <w:gridSpan w:val="2"/>
                        <w:tcBorders>
                          <w:top w:val="nil"/>
                          <w:left w:val="nil"/>
                          <w:bottom w:val="nil"/>
                          <w:right w:val="nil"/>
                        </w:tcBorders>
                        <w:tcMar>
                          <w:top w:w="150" w:type="dxa"/>
                          <w:left w:w="150" w:type="dxa"/>
                          <w:bottom w:w="150" w:type="dxa"/>
                          <w:right w:w="150" w:type="dxa"/>
                        </w:tcMar>
                        <w:vAlign w:val="center"/>
                        <w:hideMark/>
                      </w:tcPr>
                      <w:p w:rsidR="00C352BB" w:rsidRDefault="00C352BB">
                        <w:r>
                          <w:rPr>
                            <w:rFonts w:ascii="Arial" w:hAnsi="Arial" w:cs="Arial"/>
                            <w:b/>
                            <w:bCs/>
                            <w:color w:val="666666"/>
                          </w:rPr>
                          <w:t>New awards recognise outstanding Year 12 achievers</w:t>
                        </w:r>
                      </w:p>
                    </w:tc>
                  </w:tr>
                  <w:tr w:rsidR="00C352BB">
                    <w:trPr>
                      <w:tblCellSpacing w:w="0" w:type="dxa"/>
                    </w:trPr>
                    <w:tc>
                      <w:tcPr>
                        <w:tcW w:w="0" w:type="auto"/>
                        <w:tcBorders>
                          <w:top w:val="nil"/>
                          <w:left w:val="nil"/>
                          <w:bottom w:val="nil"/>
                          <w:right w:val="nil"/>
                        </w:tcBorders>
                        <w:tcMar>
                          <w:top w:w="150" w:type="dxa"/>
                          <w:left w:w="150" w:type="dxa"/>
                          <w:bottom w:w="150" w:type="dxa"/>
                          <w:right w:w="150" w:type="dxa"/>
                        </w:tcMar>
                        <w:hideMark/>
                      </w:tcPr>
                      <w:p w:rsidR="00C352BB" w:rsidRDefault="00C352BB">
                        <w:r>
                          <w:rPr>
                            <w:rFonts w:ascii="Arial" w:hAnsi="Arial" w:cs="Arial"/>
                            <w:noProof/>
                            <w:sz w:val="15"/>
                            <w:szCs w:val="15"/>
                          </w:rPr>
                          <w:drawing>
                            <wp:inline distT="0" distB="0" distL="0" distR="0">
                              <wp:extent cx="2857500" cy="1905000"/>
                              <wp:effectExtent l="0" t="0" r="0" b="0"/>
                              <wp:docPr id="11" name="Picture 11" descr="http://www.qcaa.qld.edu.au/images/newsletters/gm_150202_QCE_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caa.qld.edu.au/images/newsletters/gm_150202_QCE_awa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rial" w:hAnsi="Arial" w:cs="Arial"/>
                            <w:sz w:val="15"/>
                            <w:szCs w:val="15"/>
                          </w:rPr>
                          <w:br/>
                          <w:t>It is anticipated that the QCE Achievement Awards will become</w:t>
                        </w:r>
                        <w:r>
                          <w:rPr>
                            <w:rFonts w:ascii="Arial" w:hAnsi="Arial" w:cs="Arial"/>
                            <w:sz w:val="15"/>
                            <w:szCs w:val="15"/>
                          </w:rPr>
                          <w:br/>
                          <w:t xml:space="preserve">a prestigious annual event on Queensland’s education calendar with further award categories introduced over coming years </w:t>
                        </w:r>
                        <w:r>
                          <w:rPr>
                            <w:rFonts w:ascii="Arial" w:hAnsi="Arial" w:cs="Arial"/>
                            <w:sz w:val="15"/>
                            <w:szCs w:val="15"/>
                          </w:rPr>
                          <w:br/>
                          <w:t xml:space="preserve">  </w:t>
                        </w:r>
                      </w:p>
                    </w:tc>
                    <w:tc>
                      <w:tcPr>
                        <w:tcW w:w="0" w:type="auto"/>
                        <w:tcBorders>
                          <w:top w:val="nil"/>
                          <w:left w:val="nil"/>
                          <w:bottom w:val="nil"/>
                          <w:right w:val="nil"/>
                        </w:tcBorders>
                        <w:tcMar>
                          <w:top w:w="150" w:type="dxa"/>
                          <w:left w:w="150" w:type="dxa"/>
                          <w:bottom w:w="150" w:type="dxa"/>
                          <w:right w:w="150" w:type="dxa"/>
                        </w:tcMar>
                        <w:hideMark/>
                      </w:tcPr>
                      <w:p w:rsidR="00C352BB" w:rsidRDefault="00C352BB">
                        <w:pPr>
                          <w:pStyle w:val="NormalWeb"/>
                        </w:pPr>
                        <w:r>
                          <w:rPr>
                            <w:rFonts w:ascii="Arial" w:hAnsi="Arial" w:cs="Arial"/>
                            <w:sz w:val="18"/>
                            <w:szCs w:val="18"/>
                          </w:rPr>
                          <w:t xml:space="preserve">The inaugural </w:t>
                        </w:r>
                        <w:hyperlink r:id="rId9" w:history="1">
                          <w:r>
                            <w:rPr>
                              <w:rStyle w:val="Hyperlink"/>
                              <w:rFonts w:ascii="Arial" w:hAnsi="Arial" w:cs="Arial"/>
                              <w:sz w:val="18"/>
                              <w:szCs w:val="18"/>
                            </w:rPr>
                            <w:t>Queensland Certificate of Education (QCE) Achievement Awards</w:t>
                          </w:r>
                        </w:hyperlink>
                        <w:r>
                          <w:rPr>
                            <w:rFonts w:ascii="Arial" w:hAnsi="Arial" w:cs="Arial"/>
                            <w:sz w:val="18"/>
                            <w:szCs w:val="18"/>
                          </w:rPr>
                          <w:t xml:space="preserve"> ceremony will be held at the State Library of Queensland on Saturday 21 February when more than 30 recent Year 12 graduates will be recognised and rewarded for their outstanding academic achievement.</w:t>
                        </w:r>
                      </w:p>
                      <w:p w:rsidR="00C352BB" w:rsidRDefault="00C352BB">
                        <w:pPr>
                          <w:pStyle w:val="NormalWeb"/>
                        </w:pPr>
                        <w:r>
                          <w:rPr>
                            <w:rFonts w:ascii="Arial" w:hAnsi="Arial" w:cs="Arial"/>
                            <w:sz w:val="18"/>
                            <w:szCs w:val="18"/>
                          </w:rPr>
                          <w:t>The awards program complements the annual school-by-school Year 12 outcomes report by publicly recognising individual students who have maximised the learning opportunities open to them through the flexibility of the QCE.</w:t>
                        </w:r>
                      </w:p>
                    </w:tc>
                  </w:tr>
                </w:tbl>
                <w:p w:rsidR="00C352BB" w:rsidRDefault="00C352BB">
                  <w:r>
                    <w:t> </w:t>
                  </w:r>
                </w:p>
                <w:tbl>
                  <w:tblPr>
                    <w:tblW w:w="9000" w:type="dxa"/>
                    <w:tblCellSpacing w:w="0" w:type="dxa"/>
                    <w:tblBorders>
                      <w:left w:val="single" w:sz="8" w:space="0" w:color="FFFFFF"/>
                      <w:bottom w:val="single" w:sz="8" w:space="0" w:color="D52B1E"/>
                    </w:tblBorders>
                    <w:tblCellMar>
                      <w:left w:w="0" w:type="dxa"/>
                      <w:right w:w="0" w:type="dxa"/>
                    </w:tblCellMar>
                    <w:tblLook w:val="04A0" w:firstRow="1" w:lastRow="0" w:firstColumn="1" w:lastColumn="0" w:noHBand="0" w:noVBand="1"/>
                  </w:tblPr>
                  <w:tblGrid>
                    <w:gridCol w:w="9000"/>
                  </w:tblGrid>
                  <w:tr w:rsidR="00C352BB">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rsidR="00C352BB" w:rsidRDefault="00C352BB">
                        <w:r>
                          <w:rPr>
                            <w:rFonts w:ascii="Arial" w:hAnsi="Arial" w:cs="Arial"/>
                            <w:b/>
                            <w:bCs/>
                            <w:color w:val="666666"/>
                          </w:rPr>
                          <w:t>Prepare for 2015 NAPLAN tests</w:t>
                        </w:r>
                      </w:p>
                    </w:tc>
                  </w:tr>
                  <w:tr w:rsidR="00C352BB">
                    <w:trPr>
                      <w:tblCellSpacing w:w="0" w:type="dxa"/>
                    </w:trPr>
                    <w:tc>
                      <w:tcPr>
                        <w:tcW w:w="0" w:type="auto"/>
                        <w:tcBorders>
                          <w:top w:val="nil"/>
                          <w:left w:val="nil"/>
                          <w:bottom w:val="nil"/>
                          <w:right w:val="nil"/>
                        </w:tcBorders>
                        <w:tcMar>
                          <w:top w:w="150" w:type="dxa"/>
                          <w:left w:w="150" w:type="dxa"/>
                          <w:bottom w:w="150" w:type="dxa"/>
                          <w:right w:w="150" w:type="dxa"/>
                        </w:tcMar>
                        <w:hideMark/>
                      </w:tcPr>
                      <w:p w:rsidR="00C352BB" w:rsidRDefault="00C352BB">
                        <w:pPr>
                          <w:pStyle w:val="NormalWeb"/>
                        </w:pPr>
                        <w:r>
                          <w:rPr>
                            <w:rFonts w:ascii="Arial" w:hAnsi="Arial" w:cs="Arial"/>
                            <w:sz w:val="18"/>
                            <w:szCs w:val="18"/>
                          </w:rPr>
                          <w:t xml:space="preserve">The first </w:t>
                        </w:r>
                        <w:hyperlink r:id="rId10" w:history="1">
                          <w:r>
                            <w:rPr>
                              <w:rStyle w:val="Hyperlink"/>
                              <w:rFonts w:ascii="Arial" w:hAnsi="Arial" w:cs="Arial"/>
                              <w:sz w:val="18"/>
                              <w:szCs w:val="18"/>
                            </w:rPr>
                            <w:t>NAPLAN newsletter</w:t>
                          </w:r>
                        </w:hyperlink>
                        <w:r>
                          <w:rPr>
                            <w:rFonts w:ascii="Arial" w:hAnsi="Arial" w:cs="Arial"/>
                            <w:sz w:val="18"/>
                            <w:szCs w:val="18"/>
                          </w:rPr>
                          <w:t xml:space="preserve"> of the year includes information about changes to the Writing Task prompt, advice on using the NAPLAN portal to register student details, and links to the</w:t>
                        </w:r>
                        <w:r>
                          <w:rPr>
                            <w:rStyle w:val="Emphasis"/>
                            <w:rFonts w:ascii="Arial" w:hAnsi="Arial" w:cs="Arial"/>
                            <w:sz w:val="18"/>
                            <w:szCs w:val="18"/>
                          </w:rPr>
                          <w:t xml:space="preserve"> 2015 School task timeline</w:t>
                        </w:r>
                        <w:r>
                          <w:rPr>
                            <w:rFonts w:ascii="Arial" w:hAnsi="Arial" w:cs="Arial"/>
                            <w:sz w:val="18"/>
                            <w:szCs w:val="18"/>
                          </w:rPr>
                          <w:t xml:space="preserve"> and professional development workshops.</w:t>
                        </w:r>
                      </w:p>
                    </w:tc>
                  </w:tr>
                </w:tbl>
                <w:p w:rsidR="00C352BB" w:rsidRDefault="00C352BB">
                  <w:r>
                    <w:t> </w:t>
                  </w:r>
                </w:p>
                <w:tbl>
                  <w:tblPr>
                    <w:tblW w:w="9000" w:type="dxa"/>
                    <w:tblCellSpacing w:w="0" w:type="dxa"/>
                    <w:tblBorders>
                      <w:left w:val="single" w:sz="8" w:space="0" w:color="FFFFFF"/>
                      <w:bottom w:val="single" w:sz="8" w:space="0" w:color="D52B1E"/>
                    </w:tblBorders>
                    <w:tblCellMar>
                      <w:left w:w="0" w:type="dxa"/>
                      <w:right w:w="0" w:type="dxa"/>
                    </w:tblCellMar>
                    <w:tblLook w:val="04A0" w:firstRow="1" w:lastRow="0" w:firstColumn="1" w:lastColumn="0" w:noHBand="0" w:noVBand="1"/>
                  </w:tblPr>
                  <w:tblGrid>
                    <w:gridCol w:w="4800"/>
                    <w:gridCol w:w="4200"/>
                  </w:tblGrid>
                  <w:tr w:rsidR="00C352BB">
                    <w:trPr>
                      <w:tblCellSpacing w:w="0" w:type="dxa"/>
                    </w:trPr>
                    <w:tc>
                      <w:tcPr>
                        <w:tcW w:w="0" w:type="auto"/>
                        <w:gridSpan w:val="2"/>
                        <w:tcBorders>
                          <w:top w:val="nil"/>
                          <w:left w:val="nil"/>
                          <w:bottom w:val="nil"/>
                          <w:right w:val="nil"/>
                        </w:tcBorders>
                        <w:tcMar>
                          <w:top w:w="150" w:type="dxa"/>
                          <w:left w:w="150" w:type="dxa"/>
                          <w:bottom w:w="150" w:type="dxa"/>
                          <w:right w:w="150" w:type="dxa"/>
                        </w:tcMar>
                        <w:vAlign w:val="center"/>
                        <w:hideMark/>
                      </w:tcPr>
                      <w:p w:rsidR="00C352BB" w:rsidRDefault="00C352BB">
                        <w:r>
                          <w:rPr>
                            <w:rFonts w:ascii="Arial" w:hAnsi="Arial" w:cs="Arial"/>
                            <w:b/>
                            <w:bCs/>
                            <w:color w:val="666666"/>
                          </w:rPr>
                          <w:t>Join the NAPLAN marking team</w:t>
                        </w:r>
                      </w:p>
                    </w:tc>
                  </w:tr>
                  <w:tr w:rsidR="00C352BB">
                    <w:trPr>
                      <w:tblCellSpacing w:w="0" w:type="dxa"/>
                    </w:trPr>
                    <w:tc>
                      <w:tcPr>
                        <w:tcW w:w="0" w:type="auto"/>
                        <w:tcBorders>
                          <w:top w:val="nil"/>
                          <w:left w:val="nil"/>
                          <w:bottom w:val="nil"/>
                          <w:right w:val="nil"/>
                        </w:tcBorders>
                        <w:tcMar>
                          <w:top w:w="150" w:type="dxa"/>
                          <w:left w:w="150" w:type="dxa"/>
                          <w:bottom w:w="150" w:type="dxa"/>
                          <w:right w:w="150" w:type="dxa"/>
                        </w:tcMar>
                        <w:hideMark/>
                      </w:tcPr>
                      <w:p w:rsidR="00C352BB" w:rsidRDefault="00C352BB">
                        <w:r>
                          <w:rPr>
                            <w:rFonts w:ascii="Arial" w:hAnsi="Arial" w:cs="Arial"/>
                            <w:noProof/>
                            <w:sz w:val="15"/>
                            <w:szCs w:val="15"/>
                          </w:rPr>
                          <w:drawing>
                            <wp:inline distT="0" distB="0" distL="0" distR="0">
                              <wp:extent cx="2857500" cy="1905000"/>
                              <wp:effectExtent l="0" t="0" r="0" b="0"/>
                              <wp:docPr id="10" name="Picture 10" descr="http://www.qcaa.qld.edu.au/images/newsletters/gm_150202_NAPLAN-mar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caa.qld.edu.au/images/newsletters/gm_150202_NAPLAN-mark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rial" w:hAnsi="Arial" w:cs="Arial"/>
                            <w:sz w:val="15"/>
                            <w:szCs w:val="15"/>
                          </w:rPr>
                          <w:br/>
                          <w:t>The closing date for NAPLAN marker applications is 31 March</w:t>
                        </w:r>
                      </w:p>
                    </w:tc>
                    <w:tc>
                      <w:tcPr>
                        <w:tcW w:w="0" w:type="auto"/>
                        <w:tcBorders>
                          <w:top w:val="nil"/>
                          <w:left w:val="nil"/>
                          <w:bottom w:val="nil"/>
                          <w:right w:val="nil"/>
                        </w:tcBorders>
                        <w:tcMar>
                          <w:top w:w="150" w:type="dxa"/>
                          <w:left w:w="150" w:type="dxa"/>
                          <w:bottom w:w="150" w:type="dxa"/>
                          <w:right w:w="150" w:type="dxa"/>
                        </w:tcMar>
                        <w:hideMark/>
                      </w:tcPr>
                      <w:p w:rsidR="00C352BB" w:rsidRDefault="00C352BB">
                        <w:pPr>
                          <w:pStyle w:val="NormalWeb"/>
                        </w:pPr>
                        <w:r>
                          <w:rPr>
                            <w:rFonts w:ascii="Arial" w:hAnsi="Arial" w:cs="Arial"/>
                            <w:sz w:val="18"/>
                            <w:szCs w:val="18"/>
                          </w:rPr>
                          <w:t xml:space="preserve">The best way for a school to boost its NAPLAN expertise is by having at least one of its teachers take part in marking the Writing Task. By </w:t>
                        </w:r>
                        <w:hyperlink r:id="rId12" w:history="1">
                          <w:r>
                            <w:rPr>
                              <w:rStyle w:val="Hyperlink"/>
                              <w:rFonts w:ascii="Arial" w:hAnsi="Arial" w:cs="Arial"/>
                              <w:sz w:val="18"/>
                              <w:szCs w:val="18"/>
                            </w:rPr>
                            <w:t>joining the marking team</w:t>
                          </w:r>
                        </w:hyperlink>
                        <w:r>
                          <w:rPr>
                            <w:rFonts w:ascii="Arial" w:hAnsi="Arial" w:cs="Arial"/>
                            <w:sz w:val="18"/>
                            <w:szCs w:val="18"/>
                          </w:rPr>
                          <w:t xml:space="preserve"> you can:</w:t>
                        </w:r>
                      </w:p>
                      <w:p w:rsidR="00C352BB" w:rsidRDefault="00C352BB">
                        <w:pPr>
                          <w:numPr>
                            <w:ilvl w:val="0"/>
                            <w:numId w:val="1"/>
                          </w:numPr>
                          <w:rPr>
                            <w:rFonts w:eastAsia="Times New Roman"/>
                          </w:rPr>
                        </w:pPr>
                        <w:r>
                          <w:rPr>
                            <w:rFonts w:ascii="Arial" w:eastAsia="Times New Roman" w:hAnsi="Arial" w:cs="Arial"/>
                            <w:sz w:val="18"/>
                            <w:szCs w:val="18"/>
                          </w:rPr>
                          <w:t>gain unique insights into how students respond to an ‘on demand’ writing task</w:t>
                        </w:r>
                      </w:p>
                      <w:p w:rsidR="00C352BB" w:rsidRDefault="00C352BB">
                        <w:pPr>
                          <w:numPr>
                            <w:ilvl w:val="0"/>
                            <w:numId w:val="2"/>
                          </w:numPr>
                          <w:rPr>
                            <w:rFonts w:eastAsia="Times New Roman"/>
                          </w:rPr>
                        </w:pPr>
                        <w:r>
                          <w:rPr>
                            <w:rFonts w:ascii="Arial" w:eastAsia="Times New Roman" w:hAnsi="Arial" w:cs="Arial"/>
                            <w:sz w:val="18"/>
                            <w:szCs w:val="18"/>
                          </w:rPr>
                          <w:t>view student work from across Queensland</w:t>
                        </w:r>
                      </w:p>
                      <w:p w:rsidR="00C352BB" w:rsidRDefault="00C352BB">
                        <w:pPr>
                          <w:numPr>
                            <w:ilvl w:val="0"/>
                            <w:numId w:val="3"/>
                          </w:numPr>
                          <w:rPr>
                            <w:rFonts w:eastAsia="Times New Roman"/>
                          </w:rPr>
                        </w:pPr>
                        <w:r>
                          <w:rPr>
                            <w:rFonts w:ascii="Arial" w:eastAsia="Times New Roman" w:hAnsi="Arial" w:cs="Arial"/>
                            <w:sz w:val="18"/>
                            <w:szCs w:val="18"/>
                          </w:rPr>
                          <w:t>recognise how different teaching approaches can be effective</w:t>
                        </w:r>
                      </w:p>
                      <w:p w:rsidR="00C352BB" w:rsidRDefault="00C352BB">
                        <w:pPr>
                          <w:numPr>
                            <w:ilvl w:val="0"/>
                            <w:numId w:val="4"/>
                          </w:numPr>
                          <w:rPr>
                            <w:rFonts w:eastAsia="Times New Roman"/>
                          </w:rPr>
                        </w:pPr>
                        <w:proofErr w:type="gramStart"/>
                        <w:r>
                          <w:rPr>
                            <w:rFonts w:ascii="Arial" w:eastAsia="Times New Roman" w:hAnsi="Arial" w:cs="Arial"/>
                            <w:sz w:val="18"/>
                            <w:szCs w:val="18"/>
                          </w:rPr>
                          <w:t>network</w:t>
                        </w:r>
                        <w:proofErr w:type="gramEnd"/>
                        <w:r>
                          <w:rPr>
                            <w:rFonts w:ascii="Arial" w:eastAsia="Times New Roman" w:hAnsi="Arial" w:cs="Arial"/>
                            <w:sz w:val="18"/>
                            <w:szCs w:val="18"/>
                          </w:rPr>
                          <w:t xml:space="preserve"> with colleagues from many schools and backgrounds.</w:t>
                        </w:r>
                      </w:p>
                    </w:tc>
                  </w:tr>
                </w:tbl>
                <w:p w:rsidR="00C352BB" w:rsidRDefault="00C352BB">
                  <w:r>
                    <w:t> </w:t>
                  </w:r>
                </w:p>
                <w:tbl>
                  <w:tblPr>
                    <w:tblW w:w="9000" w:type="dxa"/>
                    <w:tblCellSpacing w:w="0" w:type="dxa"/>
                    <w:tblBorders>
                      <w:left w:val="single" w:sz="8" w:space="0" w:color="FFFFFF"/>
                      <w:bottom w:val="single" w:sz="8" w:space="0" w:color="D52B1E"/>
                    </w:tblBorders>
                    <w:tblCellMar>
                      <w:left w:w="0" w:type="dxa"/>
                      <w:right w:w="0" w:type="dxa"/>
                    </w:tblCellMar>
                    <w:tblLook w:val="04A0" w:firstRow="1" w:lastRow="0" w:firstColumn="1" w:lastColumn="0" w:noHBand="0" w:noVBand="1"/>
                  </w:tblPr>
                  <w:tblGrid>
                    <w:gridCol w:w="4875"/>
                    <w:gridCol w:w="4125"/>
                  </w:tblGrid>
                  <w:tr w:rsidR="00C352BB">
                    <w:trPr>
                      <w:tblCellSpacing w:w="0" w:type="dxa"/>
                    </w:trPr>
                    <w:tc>
                      <w:tcPr>
                        <w:tcW w:w="0" w:type="auto"/>
                        <w:gridSpan w:val="2"/>
                        <w:tcBorders>
                          <w:top w:val="nil"/>
                          <w:left w:val="nil"/>
                          <w:bottom w:val="nil"/>
                          <w:right w:val="nil"/>
                        </w:tcBorders>
                        <w:tcMar>
                          <w:top w:w="150" w:type="dxa"/>
                          <w:left w:w="150" w:type="dxa"/>
                          <w:bottom w:w="150" w:type="dxa"/>
                          <w:right w:w="150" w:type="dxa"/>
                        </w:tcMar>
                        <w:vAlign w:val="center"/>
                        <w:hideMark/>
                      </w:tcPr>
                      <w:p w:rsidR="00C352BB" w:rsidRDefault="00C352BB">
                        <w:r>
                          <w:rPr>
                            <w:rFonts w:ascii="Arial" w:hAnsi="Arial" w:cs="Arial"/>
                            <w:b/>
                            <w:bCs/>
                            <w:color w:val="666666"/>
                          </w:rPr>
                          <w:lastRenderedPageBreak/>
                          <w:t xml:space="preserve">Numeracy workshops offered </w:t>
                        </w:r>
                        <w:proofErr w:type="spellStart"/>
                        <w:r>
                          <w:rPr>
                            <w:rFonts w:ascii="Arial" w:hAnsi="Arial" w:cs="Arial"/>
                            <w:b/>
                            <w:bCs/>
                            <w:color w:val="666666"/>
                          </w:rPr>
                          <w:t>statewide</w:t>
                        </w:r>
                        <w:proofErr w:type="spellEnd"/>
                      </w:p>
                    </w:tc>
                  </w:tr>
                  <w:tr w:rsidR="00C352BB">
                    <w:trPr>
                      <w:tblCellSpacing w:w="0" w:type="dxa"/>
                    </w:trPr>
                    <w:tc>
                      <w:tcPr>
                        <w:tcW w:w="0" w:type="auto"/>
                        <w:tcBorders>
                          <w:top w:val="nil"/>
                          <w:left w:val="nil"/>
                          <w:bottom w:val="nil"/>
                          <w:right w:val="nil"/>
                        </w:tcBorders>
                        <w:tcMar>
                          <w:top w:w="150" w:type="dxa"/>
                          <w:left w:w="150" w:type="dxa"/>
                          <w:bottom w:w="150" w:type="dxa"/>
                          <w:right w:w="150" w:type="dxa"/>
                        </w:tcMar>
                        <w:hideMark/>
                      </w:tcPr>
                      <w:p w:rsidR="00C352BB" w:rsidRDefault="00C352BB">
                        <w:r>
                          <w:rPr>
                            <w:rFonts w:ascii="Arial" w:hAnsi="Arial" w:cs="Arial"/>
                            <w:noProof/>
                            <w:sz w:val="15"/>
                            <w:szCs w:val="15"/>
                          </w:rPr>
                          <w:drawing>
                            <wp:inline distT="0" distB="0" distL="0" distR="0">
                              <wp:extent cx="2857500" cy="1905000"/>
                              <wp:effectExtent l="0" t="0" r="0" b="0"/>
                              <wp:docPr id="9" name="Picture 9" descr="http://www.qcaa.qld.edu.au/images/newsletters/gm_150202_Numeracy-worksh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caa.qld.edu.au/images/newsletters/gm_150202_Numeracy-worksho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rial" w:hAnsi="Arial" w:cs="Arial"/>
                            <w:sz w:val="15"/>
                            <w:szCs w:val="15"/>
                          </w:rPr>
                          <w:br/>
                          <w:t xml:space="preserve">Numeracy workshops will refer to Australian Curriculum: </w:t>
                        </w:r>
                        <w:r>
                          <w:rPr>
                            <w:rFonts w:ascii="Arial" w:hAnsi="Arial" w:cs="Arial"/>
                            <w:sz w:val="15"/>
                            <w:szCs w:val="15"/>
                          </w:rPr>
                          <w:br/>
                          <w:t xml:space="preserve">Mathematics and NAPLAN items, and address conceptual understandings </w:t>
                        </w:r>
                      </w:p>
                    </w:tc>
                    <w:tc>
                      <w:tcPr>
                        <w:tcW w:w="0" w:type="auto"/>
                        <w:tcBorders>
                          <w:top w:val="nil"/>
                          <w:left w:val="nil"/>
                          <w:bottom w:val="nil"/>
                          <w:right w:val="nil"/>
                        </w:tcBorders>
                        <w:tcMar>
                          <w:top w:w="150" w:type="dxa"/>
                          <w:left w:w="150" w:type="dxa"/>
                          <w:bottom w:w="150" w:type="dxa"/>
                          <w:right w:w="150" w:type="dxa"/>
                        </w:tcMar>
                        <w:hideMark/>
                      </w:tcPr>
                      <w:p w:rsidR="00C352BB" w:rsidRDefault="00C352BB">
                        <w:pPr>
                          <w:pStyle w:val="NormalWeb"/>
                        </w:pPr>
                        <w:r>
                          <w:rPr>
                            <w:rFonts w:ascii="Arial" w:hAnsi="Arial" w:cs="Arial"/>
                            <w:sz w:val="18"/>
                            <w:szCs w:val="18"/>
                          </w:rPr>
                          <w:t xml:space="preserve">Informed by analysis of NAPLAN data trends, the QCAA is offering </w:t>
                        </w:r>
                        <w:hyperlink r:id="rId14" w:history="1">
                          <w:r>
                            <w:rPr>
                              <w:rStyle w:val="Hyperlink"/>
                              <w:rFonts w:ascii="Arial" w:hAnsi="Arial" w:cs="Arial"/>
                              <w:sz w:val="18"/>
                              <w:szCs w:val="18"/>
                            </w:rPr>
                            <w:t>hands-on workshops</w:t>
                          </w:r>
                        </w:hyperlink>
                        <w:r>
                          <w:rPr>
                            <w:rFonts w:ascii="Arial" w:hAnsi="Arial" w:cs="Arial"/>
                            <w:sz w:val="18"/>
                            <w:szCs w:val="18"/>
                          </w:rPr>
                          <w:t xml:space="preserve"> to assist and support schools in the following areas of numeracy: </w:t>
                        </w:r>
                      </w:p>
                      <w:p w:rsidR="00C352BB" w:rsidRDefault="00C352BB">
                        <w:pPr>
                          <w:numPr>
                            <w:ilvl w:val="0"/>
                            <w:numId w:val="5"/>
                          </w:numPr>
                          <w:rPr>
                            <w:rFonts w:eastAsia="Times New Roman"/>
                          </w:rPr>
                        </w:pPr>
                        <w:r>
                          <w:rPr>
                            <w:rFonts w:ascii="Arial" w:eastAsia="Times New Roman" w:hAnsi="Arial" w:cs="Arial"/>
                            <w:sz w:val="18"/>
                            <w:szCs w:val="18"/>
                          </w:rPr>
                          <w:t xml:space="preserve">subtraction in Years 2 and 3 </w:t>
                        </w:r>
                      </w:p>
                      <w:p w:rsidR="00C352BB" w:rsidRDefault="00C352BB">
                        <w:pPr>
                          <w:numPr>
                            <w:ilvl w:val="0"/>
                            <w:numId w:val="6"/>
                          </w:numPr>
                          <w:rPr>
                            <w:rFonts w:eastAsia="Times New Roman"/>
                          </w:rPr>
                        </w:pPr>
                        <w:r>
                          <w:rPr>
                            <w:rFonts w:ascii="Arial" w:eastAsia="Times New Roman" w:hAnsi="Arial" w:cs="Arial"/>
                            <w:sz w:val="18"/>
                            <w:szCs w:val="18"/>
                          </w:rPr>
                          <w:t xml:space="preserve">fractions and decimals in Years 4–6 </w:t>
                        </w:r>
                      </w:p>
                      <w:p w:rsidR="00C352BB" w:rsidRDefault="00C352BB">
                        <w:pPr>
                          <w:numPr>
                            <w:ilvl w:val="0"/>
                            <w:numId w:val="7"/>
                          </w:numPr>
                          <w:rPr>
                            <w:rFonts w:eastAsia="Times New Roman"/>
                          </w:rPr>
                        </w:pPr>
                        <w:r>
                          <w:rPr>
                            <w:rFonts w:ascii="Arial" w:eastAsia="Times New Roman" w:hAnsi="Arial" w:cs="Arial"/>
                            <w:sz w:val="18"/>
                            <w:szCs w:val="18"/>
                          </w:rPr>
                          <w:t xml:space="preserve">operating with fractions in junior secondary </w:t>
                        </w:r>
                      </w:p>
                      <w:p w:rsidR="00C352BB" w:rsidRDefault="00C352BB">
                        <w:pPr>
                          <w:numPr>
                            <w:ilvl w:val="0"/>
                            <w:numId w:val="8"/>
                          </w:numPr>
                          <w:rPr>
                            <w:rFonts w:eastAsia="Times New Roman"/>
                          </w:rPr>
                        </w:pPr>
                        <w:proofErr w:type="gramStart"/>
                        <w:r>
                          <w:rPr>
                            <w:rFonts w:ascii="Arial" w:eastAsia="Times New Roman" w:hAnsi="Arial" w:cs="Arial"/>
                            <w:sz w:val="18"/>
                            <w:szCs w:val="18"/>
                          </w:rPr>
                          <w:t>proportional</w:t>
                        </w:r>
                        <w:proofErr w:type="gramEnd"/>
                        <w:r>
                          <w:rPr>
                            <w:rFonts w:ascii="Arial" w:eastAsia="Times New Roman" w:hAnsi="Arial" w:cs="Arial"/>
                            <w:sz w:val="18"/>
                            <w:szCs w:val="18"/>
                          </w:rPr>
                          <w:t xml:space="preserve"> reasoning in Years 6 and 7. </w:t>
                        </w:r>
                      </w:p>
                    </w:tc>
                  </w:tr>
                  <w:tr w:rsidR="00C352BB">
                    <w:trPr>
                      <w:tblCellSpacing w:w="0" w:type="dxa"/>
                    </w:trPr>
                    <w:tc>
                      <w:tcPr>
                        <w:tcW w:w="0" w:type="auto"/>
                        <w:gridSpan w:val="2"/>
                        <w:tcBorders>
                          <w:top w:val="nil"/>
                          <w:left w:val="nil"/>
                          <w:bottom w:val="nil"/>
                          <w:right w:val="nil"/>
                        </w:tcBorders>
                        <w:tcMar>
                          <w:top w:w="150" w:type="dxa"/>
                          <w:left w:w="150" w:type="dxa"/>
                          <w:bottom w:w="150" w:type="dxa"/>
                          <w:right w:w="150" w:type="dxa"/>
                        </w:tcMar>
                        <w:hideMark/>
                      </w:tcPr>
                      <w:p w:rsidR="00C352BB" w:rsidRDefault="00C352BB">
                        <w:pPr>
                          <w:pStyle w:val="NormalWeb"/>
                        </w:pPr>
                        <w:r>
                          <w:rPr>
                            <w:rFonts w:ascii="Arial" w:hAnsi="Arial" w:cs="Arial"/>
                            <w:sz w:val="18"/>
                            <w:szCs w:val="18"/>
                          </w:rPr>
                          <w:t>Teachers will be provided with a toolkit of strategies, activities and digital technologies that can be used immediately in the classroom.</w:t>
                        </w:r>
                      </w:p>
                    </w:tc>
                  </w:tr>
                </w:tbl>
                <w:p w:rsidR="00C352BB" w:rsidRDefault="00C352BB">
                  <w:r>
                    <w:t> </w:t>
                  </w:r>
                </w:p>
                <w:tbl>
                  <w:tblPr>
                    <w:tblW w:w="9000" w:type="dxa"/>
                    <w:tblCellSpacing w:w="0" w:type="dxa"/>
                    <w:tblBorders>
                      <w:left w:val="single" w:sz="8" w:space="0" w:color="FFFFFF"/>
                      <w:bottom w:val="single" w:sz="8" w:space="0" w:color="D52B1E"/>
                    </w:tblBorders>
                    <w:tblCellMar>
                      <w:left w:w="0" w:type="dxa"/>
                      <w:right w:w="0" w:type="dxa"/>
                    </w:tblCellMar>
                    <w:tblLook w:val="04A0" w:firstRow="1" w:lastRow="0" w:firstColumn="1" w:lastColumn="0" w:noHBand="0" w:noVBand="1"/>
                  </w:tblPr>
                  <w:tblGrid>
                    <w:gridCol w:w="4800"/>
                    <w:gridCol w:w="4200"/>
                  </w:tblGrid>
                  <w:tr w:rsidR="00C352BB">
                    <w:trPr>
                      <w:tblCellSpacing w:w="0" w:type="dxa"/>
                    </w:trPr>
                    <w:tc>
                      <w:tcPr>
                        <w:tcW w:w="0" w:type="auto"/>
                        <w:gridSpan w:val="2"/>
                        <w:tcBorders>
                          <w:top w:val="nil"/>
                          <w:left w:val="nil"/>
                          <w:bottom w:val="nil"/>
                          <w:right w:val="nil"/>
                        </w:tcBorders>
                        <w:tcMar>
                          <w:top w:w="150" w:type="dxa"/>
                          <w:left w:w="150" w:type="dxa"/>
                          <w:bottom w:w="150" w:type="dxa"/>
                          <w:right w:w="150" w:type="dxa"/>
                        </w:tcMar>
                        <w:vAlign w:val="center"/>
                        <w:hideMark/>
                      </w:tcPr>
                      <w:p w:rsidR="00C352BB" w:rsidRDefault="00C352BB">
                        <w:r>
                          <w:rPr>
                            <w:rFonts w:ascii="Arial" w:hAnsi="Arial" w:cs="Arial"/>
                            <w:b/>
                            <w:bCs/>
                            <w:color w:val="666666"/>
                          </w:rPr>
                          <w:t>Free advice for primary schools implementing Geography</w:t>
                        </w:r>
                      </w:p>
                    </w:tc>
                  </w:tr>
                  <w:tr w:rsidR="00C352BB">
                    <w:trPr>
                      <w:tblCellSpacing w:w="0" w:type="dxa"/>
                    </w:trPr>
                    <w:tc>
                      <w:tcPr>
                        <w:tcW w:w="0" w:type="auto"/>
                        <w:tcBorders>
                          <w:top w:val="nil"/>
                          <w:left w:val="nil"/>
                          <w:bottom w:val="nil"/>
                          <w:right w:val="nil"/>
                        </w:tcBorders>
                        <w:tcMar>
                          <w:top w:w="150" w:type="dxa"/>
                          <w:left w:w="150" w:type="dxa"/>
                          <w:bottom w:w="150" w:type="dxa"/>
                          <w:right w:w="150" w:type="dxa"/>
                        </w:tcMar>
                        <w:hideMark/>
                      </w:tcPr>
                      <w:p w:rsidR="00C352BB" w:rsidRDefault="00C352BB">
                        <w:r>
                          <w:rPr>
                            <w:rFonts w:ascii="Arial" w:hAnsi="Arial" w:cs="Arial"/>
                            <w:noProof/>
                            <w:sz w:val="15"/>
                            <w:szCs w:val="15"/>
                          </w:rPr>
                          <w:drawing>
                            <wp:inline distT="0" distB="0" distL="0" distR="0">
                              <wp:extent cx="2857500" cy="1905000"/>
                              <wp:effectExtent l="0" t="0" r="0" b="0"/>
                              <wp:docPr id="8" name="Picture 8" descr="http://www.qcaa.qld.edu.au/images/newsletters/gm_150202_P-6-ge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caa.qld.edu.au/images/newsletters/gm_150202_P-6-geograph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rial" w:hAnsi="Arial" w:cs="Arial"/>
                            <w:sz w:val="15"/>
                            <w:szCs w:val="15"/>
                          </w:rPr>
                          <w:br/>
                          <w:t>QCAA resources assist teachers to plan, teach and assess using</w:t>
                        </w:r>
                        <w:r>
                          <w:rPr>
                            <w:rFonts w:ascii="Arial" w:hAnsi="Arial" w:cs="Arial"/>
                            <w:sz w:val="15"/>
                            <w:szCs w:val="15"/>
                          </w:rPr>
                          <w:br/>
                          <w:t xml:space="preserve">the Australian Curriculum: Geography </w:t>
                        </w:r>
                      </w:p>
                    </w:tc>
                    <w:tc>
                      <w:tcPr>
                        <w:tcW w:w="0" w:type="auto"/>
                        <w:tcBorders>
                          <w:top w:val="nil"/>
                          <w:left w:val="nil"/>
                          <w:bottom w:val="nil"/>
                          <w:right w:val="nil"/>
                        </w:tcBorders>
                        <w:tcMar>
                          <w:top w:w="150" w:type="dxa"/>
                          <w:left w:w="150" w:type="dxa"/>
                          <w:bottom w:w="150" w:type="dxa"/>
                          <w:right w:w="150" w:type="dxa"/>
                        </w:tcMar>
                        <w:hideMark/>
                      </w:tcPr>
                      <w:p w:rsidR="00C352BB" w:rsidRDefault="00C352BB">
                        <w:pPr>
                          <w:pStyle w:val="NormalWeb"/>
                        </w:pPr>
                        <w:r>
                          <w:rPr>
                            <w:rFonts w:ascii="Arial" w:hAnsi="Arial" w:cs="Arial"/>
                            <w:sz w:val="18"/>
                            <w:szCs w:val="18"/>
                          </w:rPr>
                          <w:t xml:space="preserve">Primary teachers implementing the Australian Curriculum: Geography in Prep–Year 6 can benefit from participating in </w:t>
                        </w:r>
                        <w:hyperlink r:id="rId16" w:history="1">
                          <w:r>
                            <w:rPr>
                              <w:rStyle w:val="Hyperlink"/>
                              <w:rFonts w:ascii="Arial" w:hAnsi="Arial" w:cs="Arial"/>
                              <w:sz w:val="18"/>
                              <w:szCs w:val="18"/>
                            </w:rPr>
                            <w:t>two free twilight workshops</w:t>
                          </w:r>
                        </w:hyperlink>
                        <w:r>
                          <w:rPr>
                            <w:rFonts w:ascii="Arial" w:hAnsi="Arial" w:cs="Arial"/>
                            <w:sz w:val="18"/>
                            <w:szCs w:val="18"/>
                          </w:rPr>
                          <w:t xml:space="preserve"> that will provide strategies for: </w:t>
                        </w:r>
                      </w:p>
                      <w:p w:rsidR="00C352BB" w:rsidRDefault="00C352BB">
                        <w:pPr>
                          <w:numPr>
                            <w:ilvl w:val="0"/>
                            <w:numId w:val="9"/>
                          </w:numPr>
                          <w:rPr>
                            <w:rFonts w:eastAsia="Times New Roman"/>
                          </w:rPr>
                        </w:pPr>
                        <w:r>
                          <w:rPr>
                            <w:rFonts w:ascii="Arial" w:eastAsia="Times New Roman" w:hAnsi="Arial" w:cs="Arial"/>
                            <w:sz w:val="18"/>
                            <w:szCs w:val="18"/>
                          </w:rPr>
                          <w:t xml:space="preserve">assessing knowledge, understanding and skills </w:t>
                        </w:r>
                      </w:p>
                      <w:p w:rsidR="00C352BB" w:rsidRDefault="00C352BB">
                        <w:pPr>
                          <w:numPr>
                            <w:ilvl w:val="0"/>
                            <w:numId w:val="10"/>
                          </w:numPr>
                          <w:rPr>
                            <w:rFonts w:eastAsia="Times New Roman"/>
                          </w:rPr>
                        </w:pPr>
                        <w:r>
                          <w:rPr>
                            <w:rFonts w:ascii="Arial" w:eastAsia="Times New Roman" w:hAnsi="Arial" w:cs="Arial"/>
                            <w:sz w:val="18"/>
                            <w:szCs w:val="18"/>
                          </w:rPr>
                          <w:t xml:space="preserve">developing task-specific standards for making judgments about student work </w:t>
                        </w:r>
                      </w:p>
                      <w:p w:rsidR="00C352BB" w:rsidRDefault="00C352BB">
                        <w:pPr>
                          <w:numPr>
                            <w:ilvl w:val="0"/>
                            <w:numId w:val="11"/>
                          </w:numPr>
                          <w:rPr>
                            <w:rFonts w:eastAsia="Times New Roman"/>
                          </w:rPr>
                        </w:pPr>
                        <w:proofErr w:type="gramStart"/>
                        <w:r>
                          <w:rPr>
                            <w:rFonts w:ascii="Arial" w:eastAsia="Times New Roman" w:hAnsi="Arial" w:cs="Arial"/>
                            <w:sz w:val="18"/>
                            <w:szCs w:val="18"/>
                          </w:rPr>
                          <w:t>using</w:t>
                        </w:r>
                        <w:proofErr w:type="gramEnd"/>
                        <w:r>
                          <w:rPr>
                            <w:rFonts w:ascii="Arial" w:eastAsia="Times New Roman" w:hAnsi="Arial" w:cs="Arial"/>
                            <w:sz w:val="18"/>
                            <w:szCs w:val="18"/>
                          </w:rPr>
                          <w:t xml:space="preserve"> QCAA sample assessments in different classroom contexts.  </w:t>
                        </w:r>
                      </w:p>
                    </w:tc>
                  </w:tr>
                  <w:tr w:rsidR="00C352BB">
                    <w:trPr>
                      <w:tblCellSpacing w:w="0" w:type="dxa"/>
                    </w:trPr>
                    <w:tc>
                      <w:tcPr>
                        <w:tcW w:w="0" w:type="auto"/>
                        <w:gridSpan w:val="2"/>
                        <w:tcBorders>
                          <w:top w:val="nil"/>
                          <w:left w:val="nil"/>
                          <w:bottom w:val="nil"/>
                          <w:right w:val="nil"/>
                        </w:tcBorders>
                        <w:tcMar>
                          <w:top w:w="150" w:type="dxa"/>
                          <w:left w:w="150" w:type="dxa"/>
                          <w:bottom w:w="150" w:type="dxa"/>
                          <w:right w:w="150" w:type="dxa"/>
                        </w:tcMar>
                        <w:hideMark/>
                      </w:tcPr>
                      <w:p w:rsidR="00C352BB" w:rsidRDefault="00C352BB">
                        <w:pPr>
                          <w:pStyle w:val="NormalWeb"/>
                        </w:pPr>
                        <w:r>
                          <w:rPr>
                            <w:rFonts w:ascii="Arial" w:hAnsi="Arial" w:cs="Arial"/>
                            <w:sz w:val="18"/>
                            <w:szCs w:val="18"/>
                          </w:rPr>
                          <w:t>The workshops will be held at the QCAA office in South Brisbane on Thursday 5 March and Tuesday 10 March.</w:t>
                        </w:r>
                      </w:p>
                    </w:tc>
                  </w:tr>
                </w:tbl>
                <w:p w:rsidR="00C352BB" w:rsidRDefault="00C352BB">
                  <w:r>
                    <w:t> </w:t>
                  </w:r>
                </w:p>
                <w:tbl>
                  <w:tblPr>
                    <w:tblW w:w="9000" w:type="dxa"/>
                    <w:tblCellSpacing w:w="0" w:type="dxa"/>
                    <w:tblBorders>
                      <w:left w:val="single" w:sz="8" w:space="0" w:color="FFFFFF"/>
                      <w:bottom w:val="single" w:sz="8" w:space="0" w:color="D52B1E"/>
                    </w:tblBorders>
                    <w:tblCellMar>
                      <w:left w:w="0" w:type="dxa"/>
                      <w:right w:w="0" w:type="dxa"/>
                    </w:tblCellMar>
                    <w:tblLook w:val="04A0" w:firstRow="1" w:lastRow="0" w:firstColumn="1" w:lastColumn="0" w:noHBand="0" w:noVBand="1"/>
                  </w:tblPr>
                  <w:tblGrid>
                    <w:gridCol w:w="9000"/>
                  </w:tblGrid>
                  <w:tr w:rsidR="00C352BB">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rsidR="00C352BB" w:rsidRDefault="00C352BB">
                        <w:r>
                          <w:rPr>
                            <w:rFonts w:ascii="Arial" w:hAnsi="Arial" w:cs="Arial"/>
                            <w:b/>
                            <w:bCs/>
                            <w:color w:val="666666"/>
                          </w:rPr>
                          <w:t>Senior subject workshops focus on assessment</w:t>
                        </w:r>
                      </w:p>
                    </w:tc>
                  </w:tr>
                  <w:tr w:rsidR="00C352BB">
                    <w:trPr>
                      <w:tblCellSpacing w:w="0" w:type="dxa"/>
                    </w:trPr>
                    <w:tc>
                      <w:tcPr>
                        <w:tcW w:w="0" w:type="auto"/>
                        <w:tcBorders>
                          <w:top w:val="nil"/>
                          <w:left w:val="nil"/>
                          <w:bottom w:val="nil"/>
                          <w:right w:val="nil"/>
                        </w:tcBorders>
                        <w:tcMar>
                          <w:top w:w="150" w:type="dxa"/>
                          <w:left w:w="150" w:type="dxa"/>
                          <w:bottom w:w="150" w:type="dxa"/>
                          <w:right w:w="150" w:type="dxa"/>
                        </w:tcMar>
                        <w:hideMark/>
                      </w:tcPr>
                      <w:p w:rsidR="00C352BB" w:rsidRDefault="00C352BB">
                        <w:pPr>
                          <w:pStyle w:val="NormalWeb"/>
                        </w:pPr>
                        <w:r>
                          <w:rPr>
                            <w:rFonts w:ascii="Arial" w:hAnsi="Arial" w:cs="Arial"/>
                            <w:sz w:val="18"/>
                            <w:szCs w:val="18"/>
                          </w:rPr>
                          <w:t>During March and April, the QCAA is offering assessment workshops for the following senior subjects:</w:t>
                        </w:r>
                      </w:p>
                      <w:p w:rsidR="00C352BB" w:rsidRDefault="00C352BB">
                        <w:pPr>
                          <w:numPr>
                            <w:ilvl w:val="0"/>
                            <w:numId w:val="12"/>
                          </w:numPr>
                          <w:rPr>
                            <w:rFonts w:eastAsia="Times New Roman"/>
                          </w:rPr>
                        </w:pPr>
                        <w:r>
                          <w:rPr>
                            <w:rFonts w:ascii="Arial" w:eastAsia="Times New Roman" w:hAnsi="Arial" w:cs="Arial"/>
                            <w:sz w:val="18"/>
                            <w:szCs w:val="18"/>
                          </w:rPr>
                          <w:t>Agricultural Science</w:t>
                        </w:r>
                      </w:p>
                      <w:p w:rsidR="00C352BB" w:rsidRDefault="00C352BB">
                        <w:pPr>
                          <w:numPr>
                            <w:ilvl w:val="0"/>
                            <w:numId w:val="13"/>
                          </w:numPr>
                          <w:rPr>
                            <w:rFonts w:eastAsia="Times New Roman"/>
                          </w:rPr>
                        </w:pPr>
                        <w:r>
                          <w:rPr>
                            <w:rFonts w:ascii="Arial" w:eastAsia="Times New Roman" w:hAnsi="Arial" w:cs="Arial"/>
                            <w:sz w:val="18"/>
                            <w:szCs w:val="18"/>
                          </w:rPr>
                          <w:t>Music</w:t>
                        </w:r>
                      </w:p>
                      <w:p w:rsidR="00C352BB" w:rsidRDefault="00C352BB">
                        <w:pPr>
                          <w:numPr>
                            <w:ilvl w:val="0"/>
                            <w:numId w:val="14"/>
                          </w:numPr>
                          <w:rPr>
                            <w:rFonts w:eastAsia="Times New Roman"/>
                          </w:rPr>
                        </w:pPr>
                        <w:r>
                          <w:rPr>
                            <w:rFonts w:ascii="Arial" w:eastAsia="Times New Roman" w:hAnsi="Arial" w:cs="Arial"/>
                            <w:sz w:val="18"/>
                            <w:szCs w:val="18"/>
                          </w:rPr>
                          <w:t>Study of Religion</w:t>
                        </w:r>
                      </w:p>
                      <w:p w:rsidR="00C352BB" w:rsidRDefault="00C352BB">
                        <w:pPr>
                          <w:numPr>
                            <w:ilvl w:val="0"/>
                            <w:numId w:val="15"/>
                          </w:numPr>
                          <w:rPr>
                            <w:rFonts w:eastAsia="Times New Roman"/>
                          </w:rPr>
                        </w:pPr>
                        <w:r>
                          <w:rPr>
                            <w:rFonts w:ascii="Arial" w:eastAsia="Times New Roman" w:hAnsi="Arial" w:cs="Arial"/>
                            <w:sz w:val="18"/>
                            <w:szCs w:val="18"/>
                          </w:rPr>
                          <w:t>Technology Studies.</w:t>
                        </w:r>
                      </w:p>
                      <w:p w:rsidR="00C352BB" w:rsidRDefault="00C352BB">
                        <w:pPr>
                          <w:pStyle w:val="NormalWeb"/>
                        </w:pPr>
                        <w:r>
                          <w:rPr>
                            <w:rFonts w:ascii="Arial" w:hAnsi="Arial" w:cs="Arial"/>
                            <w:sz w:val="18"/>
                            <w:szCs w:val="18"/>
                          </w:rPr>
                          <w:lastRenderedPageBreak/>
                          <w:t xml:space="preserve">Please visit our </w:t>
                        </w:r>
                        <w:hyperlink r:id="rId17" w:history="1">
                          <w:r>
                            <w:rPr>
                              <w:rStyle w:val="Hyperlink"/>
                              <w:rFonts w:ascii="Arial" w:hAnsi="Arial" w:cs="Arial"/>
                              <w:sz w:val="18"/>
                              <w:szCs w:val="18"/>
                            </w:rPr>
                            <w:t>website to register</w:t>
                          </w:r>
                        </w:hyperlink>
                        <w:r>
                          <w:rPr>
                            <w:rFonts w:ascii="Arial" w:hAnsi="Arial" w:cs="Arial"/>
                            <w:sz w:val="18"/>
                            <w:szCs w:val="18"/>
                          </w:rPr>
                          <w:t xml:space="preserve"> .</w:t>
                        </w:r>
                      </w:p>
                    </w:tc>
                  </w:tr>
                </w:tbl>
                <w:p w:rsidR="00C352BB" w:rsidRDefault="00C352BB">
                  <w:r>
                    <w:lastRenderedPageBreak/>
                    <w:t> </w:t>
                  </w:r>
                </w:p>
                <w:tbl>
                  <w:tblPr>
                    <w:tblW w:w="9000" w:type="dxa"/>
                    <w:tblCellSpacing w:w="0" w:type="dxa"/>
                    <w:tblBorders>
                      <w:left w:val="single" w:sz="8" w:space="0" w:color="FFFFFF"/>
                      <w:bottom w:val="single" w:sz="8" w:space="0" w:color="D52B1E"/>
                    </w:tblBorders>
                    <w:tblCellMar>
                      <w:left w:w="0" w:type="dxa"/>
                      <w:right w:w="0" w:type="dxa"/>
                    </w:tblCellMar>
                    <w:tblLook w:val="04A0" w:firstRow="1" w:lastRow="0" w:firstColumn="1" w:lastColumn="0" w:noHBand="0" w:noVBand="1"/>
                  </w:tblPr>
                  <w:tblGrid>
                    <w:gridCol w:w="5124"/>
                    <w:gridCol w:w="3876"/>
                  </w:tblGrid>
                  <w:tr w:rsidR="00C352BB">
                    <w:trPr>
                      <w:tblCellSpacing w:w="0" w:type="dxa"/>
                    </w:trPr>
                    <w:tc>
                      <w:tcPr>
                        <w:tcW w:w="0" w:type="auto"/>
                        <w:gridSpan w:val="2"/>
                        <w:tcBorders>
                          <w:top w:val="nil"/>
                          <w:left w:val="nil"/>
                          <w:bottom w:val="nil"/>
                          <w:right w:val="nil"/>
                        </w:tcBorders>
                        <w:tcMar>
                          <w:top w:w="150" w:type="dxa"/>
                          <w:left w:w="150" w:type="dxa"/>
                          <w:bottom w:w="150" w:type="dxa"/>
                          <w:right w:w="150" w:type="dxa"/>
                        </w:tcMar>
                        <w:vAlign w:val="center"/>
                        <w:hideMark/>
                      </w:tcPr>
                      <w:p w:rsidR="00C352BB" w:rsidRDefault="00C352BB">
                        <w:r>
                          <w:rPr>
                            <w:rFonts w:ascii="Arial" w:hAnsi="Arial" w:cs="Arial"/>
                            <w:b/>
                            <w:bCs/>
                            <w:color w:val="666666"/>
                          </w:rPr>
                          <w:t>2014 state review panel reports now online</w:t>
                        </w:r>
                      </w:p>
                    </w:tc>
                  </w:tr>
                  <w:tr w:rsidR="00C352BB">
                    <w:trPr>
                      <w:tblCellSpacing w:w="0" w:type="dxa"/>
                    </w:trPr>
                    <w:tc>
                      <w:tcPr>
                        <w:tcW w:w="0" w:type="auto"/>
                        <w:tcBorders>
                          <w:top w:val="nil"/>
                          <w:left w:val="nil"/>
                          <w:bottom w:val="nil"/>
                          <w:right w:val="nil"/>
                        </w:tcBorders>
                        <w:tcMar>
                          <w:top w:w="150" w:type="dxa"/>
                          <w:left w:w="150" w:type="dxa"/>
                          <w:bottom w:w="150" w:type="dxa"/>
                          <w:right w:w="150" w:type="dxa"/>
                        </w:tcMar>
                        <w:hideMark/>
                      </w:tcPr>
                      <w:p w:rsidR="00C352BB" w:rsidRDefault="00C352BB">
                        <w:r>
                          <w:rPr>
                            <w:rFonts w:ascii="Arial" w:hAnsi="Arial" w:cs="Arial"/>
                            <w:noProof/>
                            <w:sz w:val="15"/>
                            <w:szCs w:val="15"/>
                          </w:rPr>
                          <w:drawing>
                            <wp:inline distT="0" distB="0" distL="0" distR="0">
                              <wp:extent cx="2857500" cy="1905000"/>
                              <wp:effectExtent l="0" t="0" r="0" b="0"/>
                              <wp:docPr id="7" name="Picture 7" descr="http://www.qcaa.qld.edu.au/images/newsletters/gm_150202_state-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caa.qld.edu.au/images/newsletters/gm_150202_state-review.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rial" w:hAnsi="Arial" w:cs="Arial"/>
                            <w:sz w:val="15"/>
                            <w:szCs w:val="15"/>
                          </w:rPr>
                          <w:br/>
                          <w:t xml:space="preserve">Members of the State Review Panel for Mathematics C during  comparability in November 2014 </w:t>
                        </w:r>
                      </w:p>
                    </w:tc>
                    <w:tc>
                      <w:tcPr>
                        <w:tcW w:w="0" w:type="auto"/>
                        <w:tcBorders>
                          <w:top w:val="nil"/>
                          <w:left w:val="nil"/>
                          <w:bottom w:val="nil"/>
                          <w:right w:val="nil"/>
                        </w:tcBorders>
                        <w:tcMar>
                          <w:top w:w="150" w:type="dxa"/>
                          <w:left w:w="150" w:type="dxa"/>
                          <w:bottom w:w="150" w:type="dxa"/>
                          <w:right w:w="150" w:type="dxa"/>
                        </w:tcMar>
                        <w:hideMark/>
                      </w:tcPr>
                      <w:p w:rsidR="00C352BB" w:rsidRDefault="00C352BB">
                        <w:pPr>
                          <w:pStyle w:val="NormalWeb"/>
                        </w:pPr>
                        <w:r>
                          <w:rPr>
                            <w:rFonts w:ascii="Arial" w:hAnsi="Arial" w:cs="Arial"/>
                            <w:sz w:val="18"/>
                            <w:szCs w:val="18"/>
                          </w:rPr>
                          <w:t xml:space="preserve">State review panel reports for senior Authority subjects in general implementation in 2014 are available on </w:t>
                        </w:r>
                        <w:hyperlink r:id="rId19" w:history="1">
                          <w:r>
                            <w:rPr>
                              <w:rStyle w:val="Hyperlink"/>
                              <w:rFonts w:ascii="Arial" w:hAnsi="Arial" w:cs="Arial"/>
                              <w:sz w:val="18"/>
                              <w:szCs w:val="18"/>
                            </w:rPr>
                            <w:t>the QCAA website</w:t>
                          </w:r>
                        </w:hyperlink>
                        <w:r>
                          <w:rPr>
                            <w:rFonts w:ascii="Arial" w:hAnsi="Arial" w:cs="Arial"/>
                            <w:sz w:val="18"/>
                            <w:szCs w:val="18"/>
                          </w:rPr>
                          <w:t xml:space="preserve"> . The reports outline: </w:t>
                        </w:r>
                      </w:p>
                      <w:p w:rsidR="00C352BB" w:rsidRDefault="00C352BB">
                        <w:pPr>
                          <w:numPr>
                            <w:ilvl w:val="0"/>
                            <w:numId w:val="16"/>
                          </w:numPr>
                          <w:rPr>
                            <w:rFonts w:eastAsia="Times New Roman"/>
                          </w:rPr>
                        </w:pPr>
                        <w:r>
                          <w:rPr>
                            <w:rFonts w:ascii="Arial" w:eastAsia="Times New Roman" w:hAnsi="Arial" w:cs="Arial"/>
                            <w:sz w:val="18"/>
                            <w:szCs w:val="18"/>
                          </w:rPr>
                          <w:t xml:space="preserve">the implementation status of the syllabus </w:t>
                        </w:r>
                      </w:p>
                      <w:p w:rsidR="00C352BB" w:rsidRDefault="00C352BB">
                        <w:pPr>
                          <w:numPr>
                            <w:ilvl w:val="0"/>
                            <w:numId w:val="17"/>
                          </w:numPr>
                          <w:rPr>
                            <w:rFonts w:eastAsia="Times New Roman"/>
                          </w:rPr>
                        </w:pPr>
                        <w:r>
                          <w:rPr>
                            <w:rFonts w:ascii="Arial" w:eastAsia="Times New Roman" w:hAnsi="Arial" w:cs="Arial"/>
                            <w:sz w:val="18"/>
                            <w:szCs w:val="18"/>
                          </w:rPr>
                          <w:t xml:space="preserve">the assessment requirements and features of the syllabus </w:t>
                        </w:r>
                      </w:p>
                      <w:p w:rsidR="00C352BB" w:rsidRDefault="00C352BB">
                        <w:pPr>
                          <w:numPr>
                            <w:ilvl w:val="0"/>
                            <w:numId w:val="18"/>
                          </w:numPr>
                          <w:rPr>
                            <w:rFonts w:eastAsia="Times New Roman"/>
                          </w:rPr>
                        </w:pPr>
                        <w:r>
                          <w:rPr>
                            <w:rFonts w:ascii="Arial" w:eastAsia="Times New Roman" w:hAnsi="Arial" w:cs="Arial"/>
                            <w:sz w:val="18"/>
                            <w:szCs w:val="18"/>
                          </w:rPr>
                          <w:t xml:space="preserve">the application of achievement standards </w:t>
                        </w:r>
                      </w:p>
                      <w:p w:rsidR="00C352BB" w:rsidRDefault="00C352BB">
                        <w:pPr>
                          <w:numPr>
                            <w:ilvl w:val="0"/>
                            <w:numId w:val="19"/>
                          </w:numPr>
                          <w:rPr>
                            <w:rFonts w:eastAsia="Times New Roman"/>
                          </w:rPr>
                        </w:pPr>
                        <w:proofErr w:type="gramStart"/>
                        <w:r>
                          <w:rPr>
                            <w:rFonts w:ascii="Arial" w:eastAsia="Times New Roman" w:hAnsi="Arial" w:cs="Arial"/>
                            <w:sz w:val="18"/>
                            <w:szCs w:val="18"/>
                          </w:rPr>
                          <w:t>resources</w:t>
                        </w:r>
                        <w:proofErr w:type="gramEnd"/>
                        <w:r>
                          <w:rPr>
                            <w:rFonts w:ascii="Arial" w:eastAsia="Times New Roman" w:hAnsi="Arial" w:cs="Arial"/>
                            <w:sz w:val="18"/>
                            <w:szCs w:val="18"/>
                          </w:rPr>
                          <w:t xml:space="preserve"> available to support implementation of the syllabus. </w:t>
                        </w:r>
                      </w:p>
                    </w:tc>
                  </w:tr>
                  <w:tr w:rsidR="00C352BB">
                    <w:trPr>
                      <w:tblCellSpacing w:w="0" w:type="dxa"/>
                    </w:trPr>
                    <w:tc>
                      <w:tcPr>
                        <w:tcW w:w="0" w:type="auto"/>
                        <w:gridSpan w:val="2"/>
                        <w:tcBorders>
                          <w:top w:val="nil"/>
                          <w:left w:val="nil"/>
                          <w:bottom w:val="nil"/>
                          <w:right w:val="nil"/>
                        </w:tcBorders>
                        <w:tcMar>
                          <w:top w:w="150" w:type="dxa"/>
                          <w:left w:w="150" w:type="dxa"/>
                          <w:bottom w:w="150" w:type="dxa"/>
                          <w:right w:w="150" w:type="dxa"/>
                        </w:tcMar>
                        <w:hideMark/>
                      </w:tcPr>
                      <w:p w:rsidR="00C352BB" w:rsidRDefault="00C352BB">
                        <w:pPr>
                          <w:pStyle w:val="NormalWeb"/>
                        </w:pPr>
                        <w:r>
                          <w:rPr>
                            <w:rFonts w:ascii="Arial" w:hAnsi="Arial" w:cs="Arial"/>
                            <w:sz w:val="18"/>
                            <w:szCs w:val="18"/>
                          </w:rPr>
                          <w:t>Teachers and discipline experts are encouraged to reflect on the information in these reports to ensure teaching and learning and school assessment practices remain consistent with Queensland’s current processes of assessment.</w:t>
                        </w:r>
                      </w:p>
                    </w:tc>
                  </w:tr>
                </w:tbl>
                <w:p w:rsidR="00C352BB" w:rsidRDefault="00C352BB">
                  <w:r>
                    <w:t> </w:t>
                  </w:r>
                </w:p>
                <w:tbl>
                  <w:tblPr>
                    <w:tblW w:w="9000" w:type="dxa"/>
                    <w:tblCellSpacing w:w="0" w:type="dxa"/>
                    <w:tblBorders>
                      <w:left w:val="single" w:sz="8" w:space="0" w:color="FFFFFF"/>
                      <w:bottom w:val="single" w:sz="8" w:space="0" w:color="D52B1E"/>
                    </w:tblBorders>
                    <w:tblCellMar>
                      <w:left w:w="0" w:type="dxa"/>
                      <w:right w:w="0" w:type="dxa"/>
                    </w:tblCellMar>
                    <w:tblLook w:val="04A0" w:firstRow="1" w:lastRow="0" w:firstColumn="1" w:lastColumn="0" w:noHBand="0" w:noVBand="1"/>
                  </w:tblPr>
                  <w:tblGrid>
                    <w:gridCol w:w="4800"/>
                    <w:gridCol w:w="4200"/>
                  </w:tblGrid>
                  <w:tr w:rsidR="00C352BB">
                    <w:trPr>
                      <w:tblCellSpacing w:w="0" w:type="dxa"/>
                    </w:trPr>
                    <w:tc>
                      <w:tcPr>
                        <w:tcW w:w="0" w:type="auto"/>
                        <w:gridSpan w:val="2"/>
                        <w:tcBorders>
                          <w:top w:val="nil"/>
                          <w:left w:val="nil"/>
                          <w:bottom w:val="nil"/>
                          <w:right w:val="nil"/>
                        </w:tcBorders>
                        <w:tcMar>
                          <w:top w:w="150" w:type="dxa"/>
                          <w:left w:w="150" w:type="dxa"/>
                          <w:bottom w:w="150" w:type="dxa"/>
                          <w:right w:w="150" w:type="dxa"/>
                        </w:tcMar>
                        <w:vAlign w:val="center"/>
                        <w:hideMark/>
                      </w:tcPr>
                      <w:p w:rsidR="00C352BB" w:rsidRDefault="00C352BB">
                        <w:r>
                          <w:rPr>
                            <w:rFonts w:ascii="Arial" w:hAnsi="Arial" w:cs="Arial"/>
                            <w:b/>
                            <w:bCs/>
                            <w:color w:val="666666"/>
                          </w:rPr>
                          <w:t>Meeting the new Standards for school RTOs</w:t>
                        </w:r>
                      </w:p>
                    </w:tc>
                  </w:tr>
                  <w:tr w:rsidR="00C352BB">
                    <w:trPr>
                      <w:tblCellSpacing w:w="0" w:type="dxa"/>
                    </w:trPr>
                    <w:tc>
                      <w:tcPr>
                        <w:tcW w:w="0" w:type="auto"/>
                        <w:tcBorders>
                          <w:top w:val="nil"/>
                          <w:left w:val="nil"/>
                          <w:bottom w:val="nil"/>
                          <w:right w:val="nil"/>
                        </w:tcBorders>
                        <w:tcMar>
                          <w:top w:w="150" w:type="dxa"/>
                          <w:left w:w="150" w:type="dxa"/>
                          <w:bottom w:w="150" w:type="dxa"/>
                          <w:right w:w="150" w:type="dxa"/>
                        </w:tcMar>
                        <w:hideMark/>
                      </w:tcPr>
                      <w:p w:rsidR="00C352BB" w:rsidRDefault="00C352BB">
                        <w:r>
                          <w:rPr>
                            <w:rFonts w:ascii="Arial" w:hAnsi="Arial" w:cs="Arial"/>
                            <w:noProof/>
                            <w:sz w:val="15"/>
                            <w:szCs w:val="15"/>
                          </w:rPr>
                          <w:drawing>
                            <wp:inline distT="0" distB="0" distL="0" distR="0">
                              <wp:extent cx="2857500" cy="1905000"/>
                              <wp:effectExtent l="0" t="0" r="0" b="0"/>
                              <wp:docPr id="6" name="Picture 6" descr="http://www.qcaa.qld.edu.au/images/newsletters/141105_RTO_stand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caa.qld.edu.au/images/newsletters/141105_RTO_standard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rial" w:hAnsi="Arial" w:cs="Arial"/>
                            <w:sz w:val="15"/>
                            <w:szCs w:val="15"/>
                          </w:rPr>
                          <w:br/>
                          <w:t>Workshop participants will develop knowledge and</w:t>
                        </w:r>
                        <w:r>
                          <w:rPr>
                            <w:rFonts w:ascii="Arial" w:hAnsi="Arial" w:cs="Arial"/>
                            <w:sz w:val="15"/>
                            <w:szCs w:val="15"/>
                          </w:rPr>
                          <w:br/>
                          <w:t>understanding of the new Standards for RTOs</w:t>
                        </w:r>
                      </w:p>
                    </w:tc>
                    <w:tc>
                      <w:tcPr>
                        <w:tcW w:w="0" w:type="auto"/>
                        <w:tcBorders>
                          <w:top w:val="nil"/>
                          <w:left w:val="nil"/>
                          <w:bottom w:val="nil"/>
                          <w:right w:val="nil"/>
                        </w:tcBorders>
                        <w:tcMar>
                          <w:top w:w="150" w:type="dxa"/>
                          <w:left w:w="150" w:type="dxa"/>
                          <w:bottom w:w="150" w:type="dxa"/>
                          <w:right w:w="150" w:type="dxa"/>
                        </w:tcMar>
                        <w:hideMark/>
                      </w:tcPr>
                      <w:p w:rsidR="00C352BB" w:rsidRDefault="00C352BB">
                        <w:pPr>
                          <w:pStyle w:val="NormalWeb"/>
                        </w:pPr>
                        <w:r>
                          <w:rPr>
                            <w:rFonts w:ascii="Arial" w:hAnsi="Arial" w:cs="Arial"/>
                            <w:sz w:val="18"/>
                            <w:szCs w:val="18"/>
                          </w:rPr>
                          <w:t>New regulatory Standards for registered training organisations (RTOs) came into effect on 1 January 2015. Transition arrangements allow existing RTOs until 1 April 2015 to demonstrate compliance with the new Standards.</w:t>
                        </w:r>
                      </w:p>
                      <w:p w:rsidR="00C352BB" w:rsidRDefault="00C352BB">
                        <w:pPr>
                          <w:pStyle w:val="NormalWeb"/>
                        </w:pPr>
                        <w:r>
                          <w:rPr>
                            <w:rFonts w:ascii="Arial" w:hAnsi="Arial" w:cs="Arial"/>
                            <w:sz w:val="18"/>
                            <w:szCs w:val="18"/>
                          </w:rPr>
                          <w:t xml:space="preserve">To support schools in the transition, the QCAA is holding </w:t>
                        </w:r>
                        <w:hyperlink r:id="rId21" w:history="1">
                          <w:r>
                            <w:rPr>
                              <w:rStyle w:val="Hyperlink"/>
                              <w:rFonts w:ascii="Arial" w:hAnsi="Arial" w:cs="Arial"/>
                              <w:sz w:val="18"/>
                              <w:szCs w:val="18"/>
                            </w:rPr>
                            <w:t>workshops this term</w:t>
                          </w:r>
                        </w:hyperlink>
                        <w:r>
                          <w:rPr>
                            <w:rFonts w:ascii="Arial" w:hAnsi="Arial" w:cs="Arial"/>
                            <w:sz w:val="18"/>
                            <w:szCs w:val="18"/>
                          </w:rPr>
                          <w:t xml:space="preserve"> with essential information for RTO managers.</w:t>
                        </w:r>
                      </w:p>
                    </w:tc>
                  </w:tr>
                </w:tbl>
                <w:p w:rsidR="00C352BB" w:rsidRDefault="00C352BB">
                  <w:pPr>
                    <w:rPr>
                      <w:rFonts w:eastAsia="Times New Roman"/>
                      <w:color w:val="auto"/>
                      <w:sz w:val="20"/>
                      <w:szCs w:val="20"/>
                    </w:rPr>
                  </w:pPr>
                </w:p>
              </w:tc>
            </w:tr>
            <w:tr w:rsidR="00C352BB">
              <w:trPr>
                <w:tblCellSpacing w:w="0" w:type="dxa"/>
                <w:jc w:val="center"/>
              </w:trPr>
              <w:tc>
                <w:tcPr>
                  <w:tcW w:w="0" w:type="auto"/>
                  <w:tcBorders>
                    <w:top w:val="nil"/>
                    <w:left w:val="nil"/>
                    <w:bottom w:val="single" w:sz="8" w:space="0" w:color="D52B1E"/>
                    <w:right w:val="nil"/>
                  </w:tcBorders>
                  <w:shd w:val="clear" w:color="auto" w:fill="FFFFFF"/>
                  <w:vAlign w:val="center"/>
                  <w:hideMark/>
                </w:tcPr>
                <w:p w:rsidR="00C352BB" w:rsidRDefault="00C352BB">
                  <w:r>
                    <w:rPr>
                      <w:noProof/>
                    </w:rPr>
                    <w:lastRenderedPageBreak/>
                    <w:drawing>
                      <wp:inline distT="0" distB="0" distL="0" distR="0">
                        <wp:extent cx="762000" cy="904875"/>
                        <wp:effectExtent l="0" t="0" r="0" b="9525"/>
                        <wp:docPr id="5" name="Picture 5" descr="Queensland Government">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ensland Govern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r>
                    <w:rPr>
                      <w:noProof/>
                    </w:rPr>
                    <w:drawing>
                      <wp:inline distT="0" distB="0" distL="0" distR="0">
                        <wp:extent cx="95250" cy="904875"/>
                        <wp:effectExtent l="0" t="0" r="0" b="9525"/>
                        <wp:docPr id="4" name="Picture 4" descr="http://www.qcaa.qld.edu.au/images/newsletters/GM_btm_d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qcaa.qld.edu.au/images/newsletters/GM_btm_div.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04875"/>
                                </a:xfrm>
                                <a:prstGeom prst="rect">
                                  <a:avLst/>
                                </a:prstGeom>
                                <a:noFill/>
                                <a:ln>
                                  <a:noFill/>
                                </a:ln>
                              </pic:spPr>
                            </pic:pic>
                          </a:graphicData>
                        </a:graphic>
                      </wp:inline>
                    </w:drawing>
                  </w:r>
                  <w:r>
                    <w:rPr>
                      <w:noProof/>
                    </w:rPr>
                    <w:drawing>
                      <wp:inline distT="0" distB="0" distL="0" distR="0">
                        <wp:extent cx="1143000" cy="904875"/>
                        <wp:effectExtent l="0" t="0" r="0" b="9525"/>
                        <wp:docPr id="3" name="Picture 3" descr="Queensland Curriculum and Assessment Authority">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ensland Curriculum and Assessment Author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r>
                    <w:rPr>
                      <w:noProof/>
                    </w:rPr>
                    <w:drawing>
                      <wp:inline distT="0" distB="0" distL="0" distR="0">
                        <wp:extent cx="1790700" cy="904875"/>
                        <wp:effectExtent l="0" t="0" r="0" b="9525"/>
                        <wp:docPr id="2" name="Picture 2" descr="http://www.qcaa.qld.edu.au/images/newsletters/GM_btm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qcaa.qld.edu.au/images/newsletters/GM_btm_space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inline>
                    </w:drawing>
                  </w:r>
                  <w:r>
                    <w:rPr>
                      <w:noProof/>
                    </w:rPr>
                    <w:drawing>
                      <wp:inline distT="0" distB="0" distL="0" distR="0">
                        <wp:extent cx="1905000" cy="904875"/>
                        <wp:effectExtent l="0" t="0" r="0" b="9525"/>
                        <wp:docPr id="1" name="Picture 1" descr="For all Queensland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 all Queensland School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p>
              </w:tc>
            </w:tr>
            <w:tr w:rsidR="00C352BB">
              <w:trPr>
                <w:tblCellSpacing w:w="0" w:type="dxa"/>
                <w:jc w:val="center"/>
              </w:trPr>
              <w:tc>
                <w:tcPr>
                  <w:tcW w:w="0" w:type="auto"/>
                  <w:tcBorders>
                    <w:top w:val="nil"/>
                    <w:left w:val="nil"/>
                    <w:bottom w:val="nil"/>
                    <w:right w:val="nil"/>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352BB">
                    <w:trPr>
                      <w:tblCellSpacing w:w="0" w:type="dxa"/>
                    </w:trPr>
                    <w:tc>
                      <w:tcPr>
                        <w:tcW w:w="0" w:type="auto"/>
                        <w:tcMar>
                          <w:top w:w="60" w:type="dxa"/>
                          <w:left w:w="60" w:type="dxa"/>
                          <w:bottom w:w="60" w:type="dxa"/>
                          <w:right w:w="60" w:type="dxa"/>
                        </w:tcMar>
                        <w:vAlign w:val="center"/>
                        <w:hideMark/>
                      </w:tcPr>
                      <w:p w:rsidR="00C352BB" w:rsidRDefault="00C352BB">
                        <w:pPr>
                          <w:jc w:val="center"/>
                        </w:pPr>
                        <w:r>
                          <w:rPr>
                            <w:rFonts w:ascii="Arial" w:hAnsi="Arial" w:cs="Arial"/>
                            <w:sz w:val="15"/>
                            <w:szCs w:val="15"/>
                          </w:rPr>
                          <w:t xml:space="preserve">If you have been forwarded this email and want to subscribe, use our </w:t>
                        </w:r>
                        <w:hyperlink r:id="rId28" w:tgtFrame="_blank" w:history="1">
                          <w:r>
                            <w:rPr>
                              <w:rStyle w:val="Hyperlink"/>
                              <w:rFonts w:ascii="Arial" w:hAnsi="Arial" w:cs="Arial"/>
                              <w:sz w:val="15"/>
                              <w:szCs w:val="15"/>
                            </w:rPr>
                            <w:t>QCAA news for schools sign-up form</w:t>
                          </w:r>
                        </w:hyperlink>
                        <w:r>
                          <w:rPr>
                            <w:rFonts w:ascii="Arial" w:hAnsi="Arial" w:cs="Arial"/>
                            <w:sz w:val="15"/>
                            <w:szCs w:val="15"/>
                          </w:rPr>
                          <w:t xml:space="preserve">. </w:t>
                        </w:r>
                      </w:p>
                    </w:tc>
                  </w:tr>
                  <w:tr w:rsidR="00C352BB">
                    <w:trPr>
                      <w:tblCellSpacing w:w="0" w:type="dxa"/>
                    </w:trPr>
                    <w:tc>
                      <w:tcPr>
                        <w:tcW w:w="0" w:type="auto"/>
                        <w:tcMar>
                          <w:top w:w="60" w:type="dxa"/>
                          <w:left w:w="60" w:type="dxa"/>
                          <w:bottom w:w="60" w:type="dxa"/>
                          <w:right w:w="60" w:type="dxa"/>
                        </w:tcMar>
                        <w:vAlign w:val="center"/>
                        <w:hideMark/>
                      </w:tcPr>
                      <w:p w:rsidR="00C352BB" w:rsidRDefault="00C352BB">
                        <w:pPr>
                          <w:jc w:val="center"/>
                        </w:pPr>
                        <w:r>
                          <w:rPr>
                            <w:rFonts w:ascii="Arial" w:hAnsi="Arial" w:cs="Arial"/>
                            <w:sz w:val="15"/>
                            <w:szCs w:val="15"/>
                          </w:rPr>
                          <w:t xml:space="preserve">To unsubscribe, send a blank email to </w:t>
                        </w:r>
                        <w:hyperlink r:id="rId29" w:history="1">
                          <w:r>
                            <w:rPr>
                              <w:rStyle w:val="Hyperlink"/>
                              <w:rFonts w:ascii="Arial" w:hAnsi="Arial" w:cs="Arial"/>
                              <w:sz w:val="15"/>
                              <w:szCs w:val="15"/>
                            </w:rPr>
                            <w:t>communications@qcaa.qld.edu.au</w:t>
                          </w:r>
                        </w:hyperlink>
                        <w:r>
                          <w:rPr>
                            <w:rFonts w:ascii="Arial" w:hAnsi="Arial" w:cs="Arial"/>
                            <w:sz w:val="15"/>
                            <w:szCs w:val="15"/>
                          </w:rPr>
                          <w:t xml:space="preserve"> with "Leave QCAA news" in the subject line.</w:t>
                        </w:r>
                      </w:p>
                    </w:tc>
                  </w:tr>
                </w:tbl>
                <w:p w:rsidR="00C352BB" w:rsidRDefault="00C352BB">
                  <w:pPr>
                    <w:rPr>
                      <w:rFonts w:eastAsia="Times New Roman"/>
                      <w:color w:val="auto"/>
                      <w:sz w:val="20"/>
                      <w:szCs w:val="20"/>
                    </w:rPr>
                  </w:pPr>
                </w:p>
              </w:tc>
            </w:tr>
          </w:tbl>
          <w:p w:rsidR="00C352BB" w:rsidRDefault="00C352BB">
            <w:pPr>
              <w:jc w:val="center"/>
              <w:rPr>
                <w:rFonts w:eastAsia="Times New Roman"/>
                <w:color w:val="auto"/>
                <w:sz w:val="20"/>
                <w:szCs w:val="20"/>
              </w:rPr>
            </w:pPr>
          </w:p>
        </w:tc>
      </w:tr>
    </w:tbl>
    <w:p w:rsidR="00BB246D" w:rsidRDefault="00BB246D">
      <w:bookmarkStart w:id="0" w:name="_GoBack"/>
      <w:bookmarkEnd w:id="0"/>
    </w:p>
    <w:sectPr w:rsidR="00BB2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06C"/>
    <w:multiLevelType w:val="multilevel"/>
    <w:tmpl w:val="62C80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414107"/>
    <w:multiLevelType w:val="multilevel"/>
    <w:tmpl w:val="EF60B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EA049F2"/>
    <w:multiLevelType w:val="multilevel"/>
    <w:tmpl w:val="23748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61B2FDF"/>
    <w:multiLevelType w:val="multilevel"/>
    <w:tmpl w:val="5D9A5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BE028E3"/>
    <w:multiLevelType w:val="multilevel"/>
    <w:tmpl w:val="A0A69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A93111"/>
    <w:multiLevelType w:val="multilevel"/>
    <w:tmpl w:val="17103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29E3EFE"/>
    <w:multiLevelType w:val="multilevel"/>
    <w:tmpl w:val="C1DA7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37B6B21"/>
    <w:multiLevelType w:val="multilevel"/>
    <w:tmpl w:val="4B929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88B03C6"/>
    <w:multiLevelType w:val="multilevel"/>
    <w:tmpl w:val="E6247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C171D7D"/>
    <w:multiLevelType w:val="multilevel"/>
    <w:tmpl w:val="D982E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55D1331"/>
    <w:multiLevelType w:val="multilevel"/>
    <w:tmpl w:val="F8BAA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8980A43"/>
    <w:multiLevelType w:val="multilevel"/>
    <w:tmpl w:val="C83C3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C0A2931"/>
    <w:multiLevelType w:val="multilevel"/>
    <w:tmpl w:val="0E44C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C9D368F"/>
    <w:multiLevelType w:val="multilevel"/>
    <w:tmpl w:val="7B027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CA91686"/>
    <w:multiLevelType w:val="multilevel"/>
    <w:tmpl w:val="99FE2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D45761A"/>
    <w:multiLevelType w:val="multilevel"/>
    <w:tmpl w:val="104A5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E006FF8"/>
    <w:multiLevelType w:val="multilevel"/>
    <w:tmpl w:val="95E60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15D6641"/>
    <w:multiLevelType w:val="multilevel"/>
    <w:tmpl w:val="1E2A8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6B73972"/>
    <w:multiLevelType w:val="multilevel"/>
    <w:tmpl w:val="0D221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BB"/>
    <w:rsid w:val="00BB246D"/>
    <w:rsid w:val="00C35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BB"/>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2BB"/>
    <w:rPr>
      <w:color w:val="000000"/>
      <w:u w:val="single"/>
    </w:rPr>
  </w:style>
  <w:style w:type="paragraph" w:styleId="NormalWeb">
    <w:name w:val="Normal (Web)"/>
    <w:basedOn w:val="Normal"/>
    <w:uiPriority w:val="99"/>
    <w:unhideWhenUsed/>
    <w:rsid w:val="00C352BB"/>
    <w:pPr>
      <w:spacing w:before="100" w:beforeAutospacing="1" w:after="100" w:afterAutospacing="1"/>
    </w:pPr>
  </w:style>
  <w:style w:type="character" w:styleId="Emphasis">
    <w:name w:val="Emphasis"/>
    <w:basedOn w:val="DefaultParagraphFont"/>
    <w:uiPriority w:val="20"/>
    <w:qFormat/>
    <w:rsid w:val="00C352BB"/>
    <w:rPr>
      <w:i/>
      <w:iCs/>
    </w:rPr>
  </w:style>
  <w:style w:type="paragraph" w:styleId="BalloonText">
    <w:name w:val="Balloon Text"/>
    <w:basedOn w:val="Normal"/>
    <w:link w:val="BalloonTextChar"/>
    <w:uiPriority w:val="99"/>
    <w:semiHidden/>
    <w:unhideWhenUsed/>
    <w:rsid w:val="00C352BB"/>
    <w:rPr>
      <w:rFonts w:ascii="Tahoma" w:hAnsi="Tahoma" w:cs="Tahoma"/>
      <w:sz w:val="16"/>
      <w:szCs w:val="16"/>
    </w:rPr>
  </w:style>
  <w:style w:type="character" w:customStyle="1" w:styleId="BalloonTextChar">
    <w:name w:val="Balloon Text Char"/>
    <w:basedOn w:val="DefaultParagraphFont"/>
    <w:link w:val="BalloonText"/>
    <w:uiPriority w:val="99"/>
    <w:semiHidden/>
    <w:rsid w:val="00C352BB"/>
    <w:rPr>
      <w:rFonts w:ascii="Tahoma" w:hAnsi="Tahoma" w:cs="Tahoma"/>
      <w:color w:val="000000"/>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BB"/>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2BB"/>
    <w:rPr>
      <w:color w:val="000000"/>
      <w:u w:val="single"/>
    </w:rPr>
  </w:style>
  <w:style w:type="paragraph" w:styleId="NormalWeb">
    <w:name w:val="Normal (Web)"/>
    <w:basedOn w:val="Normal"/>
    <w:uiPriority w:val="99"/>
    <w:unhideWhenUsed/>
    <w:rsid w:val="00C352BB"/>
    <w:pPr>
      <w:spacing w:before="100" w:beforeAutospacing="1" w:after="100" w:afterAutospacing="1"/>
    </w:pPr>
  </w:style>
  <w:style w:type="character" w:styleId="Emphasis">
    <w:name w:val="Emphasis"/>
    <w:basedOn w:val="DefaultParagraphFont"/>
    <w:uiPriority w:val="20"/>
    <w:qFormat/>
    <w:rsid w:val="00C352BB"/>
    <w:rPr>
      <w:i/>
      <w:iCs/>
    </w:rPr>
  </w:style>
  <w:style w:type="paragraph" w:styleId="BalloonText">
    <w:name w:val="Balloon Text"/>
    <w:basedOn w:val="Normal"/>
    <w:link w:val="BalloonTextChar"/>
    <w:uiPriority w:val="99"/>
    <w:semiHidden/>
    <w:unhideWhenUsed/>
    <w:rsid w:val="00C352BB"/>
    <w:rPr>
      <w:rFonts w:ascii="Tahoma" w:hAnsi="Tahoma" w:cs="Tahoma"/>
      <w:sz w:val="16"/>
      <w:szCs w:val="16"/>
    </w:rPr>
  </w:style>
  <w:style w:type="character" w:customStyle="1" w:styleId="BalloonTextChar">
    <w:name w:val="Balloon Text Char"/>
    <w:basedOn w:val="DefaultParagraphFont"/>
    <w:link w:val="BalloonText"/>
    <w:uiPriority w:val="99"/>
    <w:semiHidden/>
    <w:rsid w:val="00C352BB"/>
    <w:rPr>
      <w:rFonts w:ascii="Tahoma" w:hAnsi="Tahoma" w:cs="Tahoma"/>
      <w:color w:val="00000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hyperlink" Target="https://events.qcaa.qld.edu.au/Catalogue.aspx?yl=5" TargetMode="External"/><Relationship Id="rId7" Type="http://schemas.openxmlformats.org/officeDocument/2006/relationships/image" Target="media/image1.gif"/><Relationship Id="rId12" Type="http://schemas.openxmlformats.org/officeDocument/2006/relationships/hyperlink" Target="https://www.qcaa.qld.edu.au/6173.html" TargetMode="External"/><Relationship Id="rId17" Type="http://schemas.openxmlformats.org/officeDocument/2006/relationships/hyperlink" Target="https://events.qcaa.qld.edu.au/Catalogue.aspx?yl=3" TargetMode="External"/><Relationship Id="rId25"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hyperlink" Target="https://events.qcaa.qld.edu.au/Event.aspx?e=672&amp;r=310" TargetMode="External"/><Relationship Id="rId20" Type="http://schemas.openxmlformats.org/officeDocument/2006/relationships/image" Target="media/image7.jpeg"/><Relationship Id="rId29" Type="http://schemas.openxmlformats.org/officeDocument/2006/relationships/hyperlink" Target="mailto:communications@qcaa.qld.edu.au?Subject=Leave%20QCAA%20news" TargetMode="External"/><Relationship Id="rId1" Type="http://schemas.openxmlformats.org/officeDocument/2006/relationships/numbering" Target="numbering.xml"/><Relationship Id="rId6" Type="http://schemas.openxmlformats.org/officeDocument/2006/relationships/hyperlink" Target="http://www.qcaa.qld.edu.au/" TargetMode="External"/><Relationship Id="rId11" Type="http://schemas.openxmlformats.org/officeDocument/2006/relationships/image" Target="media/image3.jpeg"/><Relationship Id="rId24"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gif"/><Relationship Id="rId28" Type="http://schemas.openxmlformats.org/officeDocument/2006/relationships/hyperlink" Target="http://www.qcaa.qld.edu.au/2408.html" TargetMode="External"/><Relationship Id="rId10" Type="http://schemas.openxmlformats.org/officeDocument/2006/relationships/hyperlink" Target="https://www.qcaa.qld.edu.au/8334.html" TargetMode="External"/><Relationship Id="rId19" Type="http://schemas.openxmlformats.org/officeDocument/2006/relationships/hyperlink" Target="https://www.qcaa.qld.edu.au/2135.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qcaa.qld.edu.au/qce-awards.html" TargetMode="External"/><Relationship Id="rId14" Type="http://schemas.openxmlformats.org/officeDocument/2006/relationships/hyperlink" Target="https://events.qcaa.qld.edu.au/Catalogue.aspx?yl=2" TargetMode="External"/><Relationship Id="rId22" Type="http://schemas.openxmlformats.org/officeDocument/2006/relationships/hyperlink" Target="http://www.qld.gov.au/" TargetMode="External"/><Relationship Id="rId27" Type="http://schemas.openxmlformats.org/officeDocument/2006/relationships/image" Target="media/image12.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Shephard</dc:creator>
  <cp:lastModifiedBy>Mandy Shephard</cp:lastModifiedBy>
  <cp:revision>1</cp:revision>
  <dcterms:created xsi:type="dcterms:W3CDTF">2015-02-16T06:17:00Z</dcterms:created>
  <dcterms:modified xsi:type="dcterms:W3CDTF">2015-02-16T06:17:00Z</dcterms:modified>
</cp:coreProperties>
</file>